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537F0" w14:textId="77777777" w:rsidR="00304A8C" w:rsidRPr="003C68BD" w:rsidRDefault="00304A8C" w:rsidP="00304A8C">
      <w:pPr>
        <w:widowControl/>
        <w:adjustRightInd w:val="0"/>
        <w:snapToGrid w:val="0"/>
        <w:spacing w:after="360" w:line="220" w:lineRule="atLeast"/>
        <w:jc w:val="center"/>
        <w:rPr>
          <w:rFonts w:ascii="宋体" w:eastAsia="宋体" w:hAnsi="宋体"/>
          <w:b/>
          <w:color w:val="FF0000"/>
          <w:w w:val="70"/>
          <w:kern w:val="0"/>
          <w:sz w:val="116"/>
          <w:szCs w:val="116"/>
        </w:rPr>
      </w:pPr>
      <w:r w:rsidRPr="003C68BD">
        <w:rPr>
          <w:rFonts w:ascii="宋体" w:eastAsia="宋体" w:hAnsi="宋体" w:hint="eastAsia"/>
          <w:b/>
          <w:color w:val="FF0000"/>
          <w:w w:val="70"/>
          <w:kern w:val="0"/>
          <w:sz w:val="116"/>
          <w:szCs w:val="116"/>
        </w:rPr>
        <w:t>常州工学院部门文件</w:t>
      </w:r>
    </w:p>
    <w:p w14:paraId="720FC97A" w14:textId="0C5633F2" w:rsidR="00820C79" w:rsidRPr="008D04BB" w:rsidRDefault="00820C79" w:rsidP="00CF3CCA">
      <w:pPr>
        <w:spacing w:line="400" w:lineRule="exact"/>
        <w:jc w:val="center"/>
        <w:textAlignment w:val="baseline"/>
        <w:rPr>
          <w:rFonts w:ascii="仿宋" w:hAnsi="仿宋"/>
          <w:sz w:val="20"/>
          <w:szCs w:val="32"/>
        </w:rPr>
      </w:pPr>
      <w:r w:rsidRPr="008D04BB">
        <w:rPr>
          <w:rFonts w:ascii="仿宋" w:hAnsi="仿宋" w:cs="宋体" w:hint="eastAsia"/>
          <w:kern w:val="0"/>
          <w:szCs w:val="32"/>
        </w:rPr>
        <w:t>常工化</w:t>
      </w:r>
      <w:r w:rsidR="00A5122D">
        <w:rPr>
          <w:rFonts w:ascii="仿宋" w:hAnsi="仿宋" w:cs="宋体" w:hint="eastAsia"/>
          <w:kern w:val="0"/>
          <w:szCs w:val="32"/>
        </w:rPr>
        <w:t>院</w:t>
      </w:r>
      <w:r w:rsidRPr="008D04BB">
        <w:rPr>
          <w:rFonts w:ascii="仿宋" w:hAnsi="仿宋" w:cs="宋体" w:hint="eastAsia"/>
          <w:kern w:val="0"/>
          <w:szCs w:val="32"/>
        </w:rPr>
        <w:t>〔20</w:t>
      </w:r>
      <w:r w:rsidR="005C12E8">
        <w:rPr>
          <w:rFonts w:ascii="仿宋" w:hAnsi="仿宋" w:cs="宋体"/>
          <w:kern w:val="0"/>
          <w:szCs w:val="32"/>
        </w:rPr>
        <w:t>2</w:t>
      </w:r>
      <w:r w:rsidR="00A279C8">
        <w:rPr>
          <w:rFonts w:ascii="仿宋" w:hAnsi="仿宋" w:cs="宋体"/>
          <w:kern w:val="0"/>
          <w:szCs w:val="32"/>
        </w:rPr>
        <w:t>3</w:t>
      </w:r>
      <w:r w:rsidRPr="008D04BB">
        <w:rPr>
          <w:rFonts w:ascii="仿宋" w:hAnsi="仿宋" w:cs="宋体" w:hint="eastAsia"/>
          <w:kern w:val="0"/>
          <w:szCs w:val="32"/>
        </w:rPr>
        <w:t>〕</w:t>
      </w:r>
      <w:r w:rsidR="00A279C8">
        <w:rPr>
          <w:rFonts w:ascii="仿宋" w:hAnsi="仿宋" w:cs="宋体"/>
          <w:kern w:val="0"/>
          <w:szCs w:val="32"/>
        </w:rPr>
        <w:t>1</w:t>
      </w:r>
      <w:r w:rsidR="00EB36E8">
        <w:rPr>
          <w:rFonts w:ascii="仿宋" w:hAnsi="仿宋" w:cs="宋体"/>
          <w:kern w:val="0"/>
          <w:szCs w:val="32"/>
        </w:rPr>
        <w:t>0</w:t>
      </w:r>
      <w:r w:rsidRPr="008D04BB">
        <w:rPr>
          <w:rFonts w:ascii="仿宋" w:hAnsi="仿宋" w:cs="宋体" w:hint="eastAsia"/>
          <w:kern w:val="0"/>
          <w:szCs w:val="32"/>
        </w:rPr>
        <w:t>号</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81"/>
        <w:gridCol w:w="66"/>
        <w:gridCol w:w="8160"/>
      </w:tblGrid>
      <w:tr w:rsidR="00972358" w14:paraId="655416DD" w14:textId="77777777">
        <w:trPr>
          <w:tblCellSpacing w:w="15" w:type="dxa"/>
          <w:jc w:val="center"/>
        </w:trPr>
        <w:tc>
          <w:tcPr>
            <w:tcW w:w="0" w:type="auto"/>
            <w:vAlign w:val="center"/>
          </w:tcPr>
          <w:p w14:paraId="62B13E9C" w14:textId="77777777" w:rsidR="00820C79" w:rsidRPr="003D2417" w:rsidRDefault="00820C79" w:rsidP="00CF3CCA">
            <w:pPr>
              <w:widowControl/>
              <w:jc w:val="center"/>
              <w:textAlignment w:val="baseline"/>
              <w:rPr>
                <w:rFonts w:ascii="宋体" w:hAnsi="宋体" w:cs="宋体"/>
                <w:kern w:val="0"/>
                <w:sz w:val="18"/>
                <w:szCs w:val="18"/>
              </w:rPr>
            </w:pPr>
          </w:p>
        </w:tc>
        <w:tc>
          <w:tcPr>
            <w:tcW w:w="0" w:type="auto"/>
            <w:vAlign w:val="center"/>
          </w:tcPr>
          <w:p w14:paraId="44BBD916" w14:textId="77777777" w:rsidR="00820C79" w:rsidRPr="003D2417" w:rsidRDefault="00820C79" w:rsidP="00CF3CCA">
            <w:pPr>
              <w:widowControl/>
              <w:jc w:val="center"/>
              <w:textAlignment w:val="baseline"/>
              <w:rPr>
                <w:rFonts w:ascii="宋体" w:hAnsi="宋体" w:cs="宋体"/>
                <w:color w:val="FF0000"/>
                <w:kern w:val="0"/>
                <w:sz w:val="40"/>
                <w:szCs w:val="40"/>
              </w:rPr>
            </w:pPr>
          </w:p>
        </w:tc>
        <w:tc>
          <w:tcPr>
            <w:tcW w:w="0" w:type="auto"/>
            <w:vAlign w:val="center"/>
          </w:tcPr>
          <w:p w14:paraId="758408D7" w14:textId="42F21C50" w:rsidR="00820C79" w:rsidRPr="003D2417" w:rsidRDefault="005F08AF" w:rsidP="00CF3CCA">
            <w:pPr>
              <w:widowControl/>
              <w:jc w:val="center"/>
              <w:textAlignment w:val="baseline"/>
              <w:rPr>
                <w:rFonts w:ascii="宋体" w:hAnsi="宋体" w:cs="宋体"/>
                <w:kern w:val="0"/>
                <w:sz w:val="18"/>
                <w:szCs w:val="18"/>
              </w:rPr>
            </w:pPr>
            <w:r>
              <w:rPr>
                <w:noProof/>
              </w:rPr>
              <w:pict w14:anchorId="63CCDF91">
                <v:rect id="_x0000_i1025" alt="" style="width:404.25pt;height:2pt;mso-width-percent:0;mso-height-percent:0;mso-width-percent:0;mso-height-percent:0" o:hrpct="0" o:hralign="center" o:hrstd="t" o:hrnoshade="t" o:hr="t" fillcolor="red" stroked="f"/>
              </w:pict>
            </w:r>
          </w:p>
        </w:tc>
      </w:tr>
    </w:tbl>
    <w:p w14:paraId="5CED6BDC" w14:textId="77777777" w:rsidR="00A279C8" w:rsidRDefault="00A279C8" w:rsidP="00CF3CCA">
      <w:pPr>
        <w:widowControl/>
        <w:jc w:val="center"/>
        <w:textAlignment w:val="baseline"/>
        <w:rPr>
          <w:rFonts w:ascii="黑体" w:eastAsia="黑体" w:hAnsi="黑体"/>
          <w:b/>
          <w:bCs/>
          <w:sz w:val="44"/>
          <w:szCs w:val="44"/>
        </w:rPr>
      </w:pPr>
    </w:p>
    <w:p w14:paraId="5AFFF41F" w14:textId="14CD5703" w:rsidR="00F04317" w:rsidRPr="002927CE" w:rsidRDefault="00EB36E8" w:rsidP="00CF3CCA">
      <w:pPr>
        <w:widowControl/>
        <w:jc w:val="center"/>
        <w:textAlignment w:val="baseline"/>
        <w:rPr>
          <w:rFonts w:ascii="黑体" w:eastAsia="黑体" w:hAnsi="黑体"/>
          <w:b/>
          <w:bCs/>
          <w:sz w:val="44"/>
          <w:szCs w:val="44"/>
        </w:rPr>
      </w:pPr>
      <w:r w:rsidRPr="00EB36E8">
        <w:rPr>
          <w:rFonts w:ascii="黑体" w:eastAsia="黑体" w:hAnsi="黑体" w:hint="eastAsia"/>
          <w:b/>
          <w:bCs/>
          <w:sz w:val="44"/>
          <w:szCs w:val="44"/>
        </w:rPr>
        <w:t>化工与材料学院实验室危险品使用管理制度</w:t>
      </w:r>
    </w:p>
    <w:p w14:paraId="4496518E" w14:textId="680BEA89" w:rsidR="00A00063" w:rsidRPr="002927CE" w:rsidRDefault="00A00063" w:rsidP="00CF3CCA">
      <w:pPr>
        <w:widowControl/>
        <w:jc w:val="center"/>
        <w:textAlignment w:val="baseline"/>
        <w:rPr>
          <w:rFonts w:ascii="黑体" w:eastAsia="黑体" w:hAnsi="黑体"/>
          <w:b/>
          <w:bCs/>
          <w:sz w:val="44"/>
          <w:szCs w:val="44"/>
        </w:rPr>
      </w:pPr>
    </w:p>
    <w:tbl>
      <w:tblPr>
        <w:tblW w:w="9690" w:type="dxa"/>
        <w:jc w:val="center"/>
        <w:tblCellSpacing w:w="0" w:type="dxa"/>
        <w:tblCellMar>
          <w:left w:w="0" w:type="dxa"/>
          <w:right w:w="0" w:type="dxa"/>
        </w:tblCellMar>
        <w:tblLook w:val="04A0" w:firstRow="1" w:lastRow="0" w:firstColumn="1" w:lastColumn="0" w:noHBand="0" w:noVBand="1"/>
      </w:tblPr>
      <w:tblGrid>
        <w:gridCol w:w="9690"/>
      </w:tblGrid>
      <w:tr w:rsidR="00A00063" w14:paraId="4C13280F" w14:textId="77777777" w:rsidTr="00A00063">
        <w:trPr>
          <w:tblCellSpacing w:w="0" w:type="dxa"/>
          <w:jc w:val="center"/>
        </w:trPr>
        <w:tc>
          <w:tcPr>
            <w:tcW w:w="9690" w:type="dxa"/>
            <w:hideMark/>
          </w:tcPr>
          <w:p w14:paraId="610BAE6C" w14:textId="77777777" w:rsidR="00EB36E8" w:rsidRPr="00CF3CCA" w:rsidRDefault="00EB36E8" w:rsidP="002927CE">
            <w:pPr>
              <w:shd w:val="clear" w:color="auto" w:fill="FFFFFF"/>
              <w:spacing w:line="520" w:lineRule="exact"/>
              <w:ind w:firstLineChars="200" w:firstLine="634"/>
              <w:rPr>
                <w:b/>
                <w:bCs/>
                <w:kern w:val="0"/>
                <w:szCs w:val="32"/>
              </w:rPr>
            </w:pPr>
            <w:r w:rsidRPr="00CF3CCA">
              <w:rPr>
                <w:rFonts w:hint="eastAsia"/>
                <w:b/>
                <w:bCs/>
                <w:szCs w:val="32"/>
              </w:rPr>
              <w:t>一、总</w:t>
            </w:r>
            <w:r w:rsidRPr="00CF3CCA">
              <w:rPr>
                <w:b/>
                <w:bCs/>
                <w:szCs w:val="32"/>
              </w:rPr>
              <w:t xml:space="preserve">  </w:t>
            </w:r>
            <w:r w:rsidRPr="00CF3CCA">
              <w:rPr>
                <w:rFonts w:hint="eastAsia"/>
                <w:b/>
                <w:bCs/>
                <w:szCs w:val="32"/>
              </w:rPr>
              <w:t>则</w:t>
            </w:r>
          </w:p>
          <w:p w14:paraId="182F4811"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1.  </w:t>
            </w:r>
            <w:r w:rsidRPr="00CF3CCA">
              <w:rPr>
                <w:rFonts w:hint="eastAsia"/>
                <w:szCs w:val="32"/>
                <w:shd w:val="clear" w:color="auto" w:fill="FFFFFF"/>
              </w:rPr>
              <w:t>为加强实验室的安全运行，进一步规范危险化学品的使用，依照《危险化学品管理条例》、《江苏省危险化学品安全管理规定》、《江苏省教育厅高校实验室危险化学品安全管理规定》、《江苏省公安厅关于易制毒易制爆化学品治安管理办法》、《江苏省高校危险化学品安全综合治理实施方案》、《江苏省高校危险废物处置专项整治实施方案》及其他相关法律、法规及标准，制定常州工学院化工与材料学院实验室危险化学品安全管理制度。</w:t>
            </w:r>
          </w:p>
          <w:p w14:paraId="68EC7E0E"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2. </w:t>
            </w:r>
            <w:r w:rsidRPr="00CF3CCA">
              <w:rPr>
                <w:rFonts w:hint="eastAsia"/>
                <w:szCs w:val="32"/>
                <w:shd w:val="clear" w:color="auto" w:fill="FFFFFF"/>
              </w:rPr>
              <w:t>本制度所涉及的危险化学品泛指国家安全监管总局制定的《危险化学品目录》中的</w:t>
            </w:r>
            <w:r w:rsidRPr="00CF3CCA">
              <w:rPr>
                <w:szCs w:val="32"/>
                <w:shd w:val="clear" w:color="auto" w:fill="FFFFFF"/>
              </w:rPr>
              <w:t>2800</w:t>
            </w:r>
            <w:r w:rsidRPr="00CF3CCA">
              <w:rPr>
                <w:rFonts w:hint="eastAsia"/>
                <w:szCs w:val="32"/>
                <w:shd w:val="clear" w:color="auto" w:fill="FFFFFF"/>
              </w:rPr>
              <w:t>多种危险化学品。此外，还包括因科研和教学需要自制的化学品，及实验后产生的危险废弃物。</w:t>
            </w:r>
          </w:p>
          <w:p w14:paraId="53ACBCAC" w14:textId="77777777" w:rsidR="00EB36E8" w:rsidRPr="00CF3CCA" w:rsidRDefault="00EB36E8" w:rsidP="002927CE">
            <w:pPr>
              <w:shd w:val="clear" w:color="auto" w:fill="FFFFFF"/>
              <w:spacing w:line="520" w:lineRule="exact"/>
              <w:ind w:firstLineChars="200" w:firstLine="634"/>
              <w:rPr>
                <w:b/>
                <w:bCs/>
                <w:szCs w:val="32"/>
              </w:rPr>
            </w:pPr>
            <w:r w:rsidRPr="00CF3CCA">
              <w:rPr>
                <w:rFonts w:hint="eastAsia"/>
                <w:b/>
                <w:bCs/>
                <w:szCs w:val="32"/>
              </w:rPr>
              <w:t>二、危险化学品的采购</w:t>
            </w:r>
          </w:p>
          <w:p w14:paraId="24CEE74E"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1.  </w:t>
            </w:r>
            <w:r w:rsidRPr="00CF3CCA">
              <w:rPr>
                <w:rFonts w:hint="eastAsia"/>
                <w:szCs w:val="32"/>
                <w:shd w:val="clear" w:color="auto" w:fill="FFFFFF"/>
              </w:rPr>
              <w:t>严禁任何部门和个人向未取得危险化学品经营许可的供应商采购危险化学品；严禁未获购买许可私自购买管制类危险化学品；严禁向未取得管制类化学品经营许可的单位采购管制类危险化学品；严禁从</w:t>
            </w:r>
            <w:r w:rsidRPr="00CF3CCA">
              <w:rPr>
                <w:rFonts w:hint="eastAsia"/>
                <w:szCs w:val="32"/>
                <w:shd w:val="clear" w:color="auto" w:fill="FFFFFF"/>
              </w:rPr>
              <w:lastRenderedPageBreak/>
              <w:t>其他不符合法律规定的渠道采购危险化学品。</w:t>
            </w:r>
          </w:p>
          <w:p w14:paraId="308C667E"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2.  </w:t>
            </w:r>
            <w:r w:rsidRPr="00CF3CCA">
              <w:rPr>
                <w:rFonts w:hint="eastAsia"/>
                <w:szCs w:val="32"/>
                <w:shd w:val="clear" w:color="auto" w:fill="FFFFFF"/>
              </w:rPr>
              <w:t>严禁未经报批报备私自从非采购途径获得化学品。实验室接受科研合作或其他单位赠送化学品（含自制化学品），应履行相应审批程序方可接受：如属管制类危险化学品，应经项目负责人、学院、学校、地方公安局等逐级审核并根据国家相关法规履行相关报批手续后方可接收；如属非管制类危险化学品（含自制化学品），应经项目负责人审核，经学院备案或审批方可接收。</w:t>
            </w:r>
          </w:p>
          <w:p w14:paraId="1544AA5F"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3.  </w:t>
            </w:r>
            <w:r w:rsidRPr="00CF3CCA">
              <w:rPr>
                <w:rFonts w:hint="eastAsia"/>
                <w:szCs w:val="32"/>
                <w:shd w:val="clear" w:color="auto" w:fill="FFFFFF"/>
              </w:rPr>
              <w:t>危险化学品的采购必须符合教学、科研工作实际需要，实验室应严格控制危险化学品的品种和用量，严禁超量购买和储备，并尽可能减少实验中的使用量。实验室之间可进行危险化学品调拨，尽量避免重复购置和闲置浪费现象。</w:t>
            </w:r>
          </w:p>
          <w:p w14:paraId="0648B3A4" w14:textId="77777777" w:rsidR="00EB36E8" w:rsidRPr="00CF3CCA" w:rsidRDefault="00EB36E8" w:rsidP="002927CE">
            <w:pPr>
              <w:shd w:val="clear" w:color="auto" w:fill="FFFFFF"/>
              <w:spacing w:line="520" w:lineRule="exact"/>
              <w:ind w:firstLineChars="200" w:firstLine="634"/>
              <w:rPr>
                <w:b/>
                <w:bCs/>
                <w:szCs w:val="32"/>
              </w:rPr>
            </w:pPr>
            <w:r w:rsidRPr="00CF3CCA">
              <w:rPr>
                <w:rFonts w:hint="eastAsia"/>
                <w:b/>
                <w:bCs/>
                <w:szCs w:val="32"/>
              </w:rPr>
              <w:t>三、</w:t>
            </w:r>
            <w:r w:rsidRPr="00CF3CCA">
              <w:rPr>
                <w:b/>
                <w:bCs/>
                <w:szCs w:val="32"/>
              </w:rPr>
              <w:t xml:space="preserve"> </w:t>
            </w:r>
            <w:r w:rsidRPr="00CF3CCA">
              <w:rPr>
                <w:rFonts w:hint="eastAsia"/>
                <w:b/>
                <w:bCs/>
                <w:szCs w:val="32"/>
              </w:rPr>
              <w:t>危险化学品的运输</w:t>
            </w:r>
          </w:p>
          <w:p w14:paraId="2E2045BD"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1.  </w:t>
            </w:r>
            <w:r w:rsidRPr="00CF3CCA">
              <w:rPr>
                <w:rFonts w:hint="eastAsia"/>
                <w:szCs w:val="32"/>
                <w:shd w:val="clear" w:color="auto" w:fill="FFFFFF"/>
              </w:rPr>
              <w:t>化学品的运输和装卸必须按照国家有关规定执行，严禁违章作业，运输过程中须确保安全，对需单独运输的危化品，禁止混载；对不允许暴露运输的，运输过程中必须装入安全器具。</w:t>
            </w:r>
          </w:p>
          <w:p w14:paraId="27202F1D"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2.  </w:t>
            </w:r>
            <w:r w:rsidRPr="00CF3CCA">
              <w:rPr>
                <w:rFonts w:hint="eastAsia"/>
                <w:szCs w:val="32"/>
                <w:shd w:val="clear" w:color="auto" w:fill="FFFFFF"/>
              </w:rPr>
              <w:t>化学品在校园内的运输应严格执行《危险化学品管理条例》、涉及使用机动车辆运输的，必须通过学院向保卫处预约报备。</w:t>
            </w:r>
          </w:p>
          <w:p w14:paraId="18BC4201"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3.  </w:t>
            </w:r>
            <w:r w:rsidRPr="00CF3CCA">
              <w:rPr>
                <w:rFonts w:hint="eastAsia"/>
                <w:szCs w:val="32"/>
                <w:shd w:val="clear" w:color="auto" w:fill="FFFFFF"/>
              </w:rPr>
              <w:t>化学品到货后，实验室相关人员必须逐件检查化学品的名称、数量、包装和</w:t>
            </w:r>
            <w:r w:rsidRPr="00CF3CCA">
              <w:rPr>
                <w:szCs w:val="32"/>
                <w:shd w:val="clear" w:color="auto" w:fill="FFFFFF"/>
              </w:rPr>
              <w:t>“</w:t>
            </w:r>
            <w:r w:rsidRPr="00CF3CCA">
              <w:rPr>
                <w:rFonts w:hint="eastAsia"/>
                <w:szCs w:val="32"/>
                <w:shd w:val="clear" w:color="auto" w:fill="FFFFFF"/>
              </w:rPr>
              <w:t>一书一签</w:t>
            </w:r>
            <w:r w:rsidRPr="00CF3CCA">
              <w:rPr>
                <w:szCs w:val="32"/>
                <w:shd w:val="clear" w:color="auto" w:fill="FFFFFF"/>
              </w:rPr>
              <w:t>”</w:t>
            </w:r>
            <w:r w:rsidRPr="00CF3CCA">
              <w:rPr>
                <w:rFonts w:hint="eastAsia"/>
                <w:szCs w:val="32"/>
                <w:shd w:val="clear" w:color="auto" w:fill="FFFFFF"/>
              </w:rPr>
              <w:t>，防止漏、丢、错等事件发生，确认完好后登记入库。</w:t>
            </w:r>
          </w:p>
          <w:p w14:paraId="093CEB5F" w14:textId="77777777" w:rsidR="00EB36E8" w:rsidRPr="00CF3CCA" w:rsidRDefault="00EB36E8" w:rsidP="002927CE">
            <w:pPr>
              <w:shd w:val="clear" w:color="auto" w:fill="FFFFFF"/>
              <w:spacing w:line="520" w:lineRule="exact"/>
              <w:ind w:firstLineChars="200" w:firstLine="634"/>
              <w:rPr>
                <w:b/>
                <w:bCs/>
                <w:szCs w:val="32"/>
              </w:rPr>
            </w:pPr>
            <w:r w:rsidRPr="00CF3CCA">
              <w:rPr>
                <w:rFonts w:hint="eastAsia"/>
                <w:b/>
                <w:bCs/>
                <w:szCs w:val="32"/>
              </w:rPr>
              <w:t>四、</w:t>
            </w:r>
            <w:r w:rsidRPr="00CF3CCA">
              <w:rPr>
                <w:b/>
                <w:bCs/>
                <w:szCs w:val="32"/>
              </w:rPr>
              <w:t xml:space="preserve"> </w:t>
            </w:r>
            <w:r w:rsidRPr="00CF3CCA">
              <w:rPr>
                <w:rFonts w:hint="eastAsia"/>
                <w:b/>
                <w:bCs/>
                <w:szCs w:val="32"/>
              </w:rPr>
              <w:t>危险化学品的存储</w:t>
            </w:r>
          </w:p>
          <w:p w14:paraId="011E482C"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1. </w:t>
            </w:r>
            <w:r w:rsidRPr="00CF3CCA">
              <w:rPr>
                <w:rFonts w:hint="eastAsia"/>
                <w:szCs w:val="32"/>
                <w:shd w:val="clear" w:color="auto" w:fill="FFFFFF"/>
              </w:rPr>
              <w:t>化学品的存储应当符合国家、江苏省和有关部门的法规、标准，并符合学校对实验室化学品安全管理的要求。</w:t>
            </w:r>
          </w:p>
          <w:p w14:paraId="01C37D5B"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2.  </w:t>
            </w:r>
            <w:r w:rsidRPr="00CF3CCA">
              <w:rPr>
                <w:rFonts w:hint="eastAsia"/>
                <w:szCs w:val="32"/>
                <w:shd w:val="clear" w:color="auto" w:fill="FFFFFF"/>
              </w:rPr>
              <w:t>实验室人员应合理购置及存储危险化学品，严禁超量存储。实</w:t>
            </w:r>
            <w:r w:rsidRPr="00CF3CCA">
              <w:rPr>
                <w:rFonts w:hint="eastAsia"/>
                <w:szCs w:val="32"/>
                <w:shd w:val="clear" w:color="auto" w:fill="FFFFFF"/>
              </w:rPr>
              <w:lastRenderedPageBreak/>
              <w:t>验室应存放尽量少的化学品，</w:t>
            </w:r>
            <w:bookmarkStart w:id="0" w:name="_Hlk86170950"/>
            <w:r w:rsidRPr="00CF3CCA">
              <w:rPr>
                <w:rFonts w:hint="eastAsia"/>
                <w:szCs w:val="32"/>
                <w:shd w:val="clear" w:color="auto" w:fill="FFFFFF"/>
              </w:rPr>
              <w:t>每间实验室内存放的除压缩气体、液化气体、剧毒化学品和爆炸品以外的危险化学品总量不应超过</w:t>
            </w:r>
            <w:r w:rsidRPr="00CF3CCA">
              <w:rPr>
                <w:szCs w:val="32"/>
                <w:shd w:val="clear" w:color="auto" w:fill="FFFFFF"/>
              </w:rPr>
              <w:t>1 L/m</w:t>
            </w:r>
            <w:r w:rsidRPr="00CF3CCA">
              <w:rPr>
                <w:szCs w:val="32"/>
                <w:shd w:val="clear" w:color="auto" w:fill="FFFFFF"/>
                <w:vertAlign w:val="superscript"/>
              </w:rPr>
              <w:t>2</w:t>
            </w:r>
            <w:r w:rsidRPr="00CF3CCA">
              <w:rPr>
                <w:rFonts w:hint="eastAsia"/>
                <w:szCs w:val="32"/>
                <w:shd w:val="clear" w:color="auto" w:fill="FFFFFF"/>
              </w:rPr>
              <w:t>或</w:t>
            </w:r>
            <w:r w:rsidRPr="00CF3CCA">
              <w:rPr>
                <w:szCs w:val="32"/>
                <w:shd w:val="clear" w:color="auto" w:fill="FFFFFF"/>
              </w:rPr>
              <w:t>1 kg/m</w:t>
            </w:r>
            <w:r w:rsidRPr="00CF3CCA">
              <w:rPr>
                <w:szCs w:val="32"/>
                <w:shd w:val="clear" w:color="auto" w:fill="FFFFFF"/>
                <w:vertAlign w:val="superscript"/>
              </w:rPr>
              <w:t>2</w:t>
            </w:r>
            <w:r w:rsidRPr="00CF3CCA">
              <w:rPr>
                <w:rFonts w:hint="eastAsia"/>
                <w:szCs w:val="32"/>
                <w:shd w:val="clear" w:color="auto" w:fill="FFFFFF"/>
              </w:rPr>
              <w:t>，其中易燃易爆性化学品的存放总量不应超过</w:t>
            </w:r>
            <w:r w:rsidRPr="00CF3CCA">
              <w:rPr>
                <w:szCs w:val="32"/>
                <w:shd w:val="clear" w:color="auto" w:fill="FFFFFF"/>
              </w:rPr>
              <w:t>0.5 L/m</w:t>
            </w:r>
            <w:r w:rsidRPr="00CF3CCA">
              <w:rPr>
                <w:szCs w:val="32"/>
                <w:shd w:val="clear" w:color="auto" w:fill="FFFFFF"/>
                <w:vertAlign w:val="superscript"/>
              </w:rPr>
              <w:t>2</w:t>
            </w:r>
            <w:r w:rsidRPr="00CF3CCA">
              <w:rPr>
                <w:rFonts w:hint="eastAsia"/>
                <w:szCs w:val="32"/>
                <w:shd w:val="clear" w:color="auto" w:fill="FFFFFF"/>
              </w:rPr>
              <w:t>或</w:t>
            </w:r>
            <w:r w:rsidRPr="00CF3CCA">
              <w:rPr>
                <w:szCs w:val="32"/>
                <w:shd w:val="clear" w:color="auto" w:fill="FFFFFF"/>
              </w:rPr>
              <w:t>0.5 kg/m</w:t>
            </w:r>
            <w:r w:rsidRPr="00CF3CCA">
              <w:rPr>
                <w:szCs w:val="32"/>
                <w:shd w:val="clear" w:color="auto" w:fill="FFFFFF"/>
                <w:vertAlign w:val="superscript"/>
              </w:rPr>
              <w:t>2</w:t>
            </w:r>
            <w:r w:rsidRPr="00CF3CCA">
              <w:rPr>
                <w:rFonts w:hint="eastAsia"/>
                <w:szCs w:val="32"/>
                <w:shd w:val="clear" w:color="auto" w:fill="FFFFFF"/>
              </w:rPr>
              <w:t>，且单一包装容器不应大于</w:t>
            </w:r>
            <w:r w:rsidRPr="00CF3CCA">
              <w:rPr>
                <w:szCs w:val="32"/>
                <w:shd w:val="clear" w:color="auto" w:fill="FFFFFF"/>
              </w:rPr>
              <w:t>25 L</w:t>
            </w:r>
            <w:r w:rsidRPr="00CF3CCA">
              <w:rPr>
                <w:rFonts w:hint="eastAsia"/>
                <w:szCs w:val="32"/>
                <w:shd w:val="clear" w:color="auto" w:fill="FFFFFF"/>
              </w:rPr>
              <w:t>或</w:t>
            </w:r>
            <w:r w:rsidRPr="00CF3CCA">
              <w:rPr>
                <w:szCs w:val="32"/>
                <w:shd w:val="clear" w:color="auto" w:fill="FFFFFF"/>
              </w:rPr>
              <w:t>25 kg</w:t>
            </w:r>
            <w:r w:rsidRPr="00CF3CCA">
              <w:rPr>
                <w:rFonts w:hint="eastAsia"/>
                <w:szCs w:val="32"/>
                <w:shd w:val="clear" w:color="auto" w:fill="FFFFFF"/>
              </w:rPr>
              <w:t>，暂时存放在安全柜或试剂柜以外的危化品总量液体不得超过</w:t>
            </w:r>
            <w:r w:rsidRPr="00CF3CCA">
              <w:rPr>
                <w:szCs w:val="32"/>
                <w:shd w:val="clear" w:color="auto" w:fill="FFFFFF"/>
              </w:rPr>
              <w:t>0.2 L/m</w:t>
            </w:r>
            <w:r w:rsidRPr="00CF3CCA">
              <w:rPr>
                <w:szCs w:val="32"/>
                <w:shd w:val="clear" w:color="auto" w:fill="FFFFFF"/>
                <w:vertAlign w:val="superscript"/>
              </w:rPr>
              <w:t>2</w:t>
            </w:r>
            <w:r w:rsidRPr="00CF3CCA">
              <w:rPr>
                <w:rFonts w:hint="eastAsia"/>
                <w:szCs w:val="32"/>
                <w:shd w:val="clear" w:color="auto" w:fill="FFFFFF"/>
              </w:rPr>
              <w:t>、固体不得超过</w:t>
            </w:r>
            <w:r w:rsidRPr="00CF3CCA">
              <w:rPr>
                <w:szCs w:val="32"/>
                <w:shd w:val="clear" w:color="auto" w:fill="FFFFFF"/>
              </w:rPr>
              <w:t>0.2 kg/m</w:t>
            </w:r>
            <w:r w:rsidRPr="00CF3CCA">
              <w:rPr>
                <w:szCs w:val="32"/>
                <w:shd w:val="clear" w:color="auto" w:fill="FFFFFF"/>
                <w:vertAlign w:val="superscript"/>
              </w:rPr>
              <w:t>2</w:t>
            </w:r>
            <w:r w:rsidRPr="00CF3CCA">
              <w:rPr>
                <w:rFonts w:hint="eastAsia"/>
                <w:szCs w:val="32"/>
                <w:shd w:val="clear" w:color="auto" w:fill="FFFFFF"/>
              </w:rPr>
              <w:t>，易燃气体钢瓶场所杜绝使用明火，并与热源距离至少</w:t>
            </w:r>
            <w:r w:rsidRPr="00CF3CCA">
              <w:rPr>
                <w:szCs w:val="32"/>
                <w:shd w:val="clear" w:color="auto" w:fill="FFFFFF"/>
              </w:rPr>
              <w:t>5m</w:t>
            </w:r>
            <w:r w:rsidRPr="00CF3CCA">
              <w:rPr>
                <w:rFonts w:hint="eastAsia"/>
                <w:szCs w:val="32"/>
                <w:shd w:val="clear" w:color="auto" w:fill="FFFFFF"/>
              </w:rPr>
              <w:t>。</w:t>
            </w:r>
            <w:bookmarkEnd w:id="0"/>
            <w:r w:rsidRPr="00CF3CCA">
              <w:rPr>
                <w:rFonts w:hint="eastAsia"/>
                <w:szCs w:val="32"/>
                <w:shd w:val="clear" w:color="auto" w:fill="FFFFFF"/>
              </w:rPr>
              <w:t>（以上数据参照《危险化学品安全管理条例》、《建筑设计防火规范》、《小型民用爆炸物品储存库安全规范</w:t>
            </w:r>
            <w:r w:rsidRPr="00CF3CCA">
              <w:rPr>
                <w:szCs w:val="32"/>
                <w:shd w:val="clear" w:color="auto" w:fill="FFFFFF"/>
              </w:rPr>
              <w:t>GA 838-2009</w:t>
            </w:r>
            <w:r w:rsidRPr="00CF3CCA">
              <w:rPr>
                <w:rFonts w:hint="eastAsia"/>
                <w:szCs w:val="32"/>
                <w:shd w:val="clear" w:color="auto" w:fill="FFFFFF"/>
              </w:rPr>
              <w:t>》、《江苏省教育厅关于危险化学品的安全管理规定》、《江苏省公安厅关于易制毒易制爆化学品管理条例》）。</w:t>
            </w:r>
          </w:p>
          <w:p w14:paraId="43ACB678"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3.  </w:t>
            </w:r>
            <w:r w:rsidRPr="00CF3CCA">
              <w:rPr>
                <w:rFonts w:hint="eastAsia"/>
                <w:szCs w:val="32"/>
                <w:shd w:val="clear" w:color="auto" w:fill="FFFFFF"/>
              </w:rPr>
              <w:t>各实验室负责人应严格按照化学品的化学特性和安全特性分类存放，不同类别相互之间保持一定的安全距离，防止相互作用而发生安全事故。</w:t>
            </w:r>
          </w:p>
          <w:p w14:paraId="53E0F797"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4.  </w:t>
            </w:r>
            <w:r w:rsidRPr="00CF3CCA">
              <w:rPr>
                <w:rFonts w:hint="eastAsia"/>
                <w:szCs w:val="32"/>
                <w:shd w:val="clear" w:color="auto" w:fill="FFFFFF"/>
              </w:rPr>
              <w:t>危险化学品储存区域的温度、湿度应严格控制，发现变化应及时调整。需要低温存贮的易挥发有机化学品必须存放于防爆冰箱。</w:t>
            </w:r>
          </w:p>
          <w:p w14:paraId="78872CDA"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5.  </w:t>
            </w:r>
            <w:r w:rsidRPr="00CF3CCA">
              <w:rPr>
                <w:rFonts w:hint="eastAsia"/>
                <w:szCs w:val="32"/>
                <w:shd w:val="clear" w:color="auto" w:fill="FFFFFF"/>
              </w:rPr>
              <w:t>实验室化学品柜上应有信息牌说明存放的类别、名称和数量；不稳定化学品或可能产生不稳定化学品应特别标注；信息牌内容应及时更新。</w:t>
            </w:r>
          </w:p>
          <w:p w14:paraId="74D08E98" w14:textId="77777777" w:rsidR="00EB36E8" w:rsidRPr="00CF3CCA" w:rsidRDefault="00EB36E8" w:rsidP="002927CE">
            <w:pPr>
              <w:widowControl/>
              <w:numPr>
                <w:ilvl w:val="0"/>
                <w:numId w:val="10"/>
              </w:numPr>
              <w:shd w:val="clear" w:color="auto" w:fill="FFFFFF"/>
              <w:adjustRightInd w:val="0"/>
              <w:snapToGrid w:val="0"/>
              <w:spacing w:line="520" w:lineRule="exact"/>
              <w:ind w:firstLine="645"/>
              <w:rPr>
                <w:szCs w:val="32"/>
                <w:shd w:val="clear" w:color="auto" w:fill="FFFFFF"/>
              </w:rPr>
            </w:pPr>
            <w:r w:rsidRPr="00CF3CCA">
              <w:rPr>
                <w:rFonts w:hint="eastAsia"/>
                <w:szCs w:val="32"/>
                <w:shd w:val="clear" w:color="auto" w:fill="FFFFFF"/>
              </w:rPr>
              <w:t>第十四条</w:t>
            </w:r>
            <w:r w:rsidRPr="00CF3CCA">
              <w:rPr>
                <w:szCs w:val="32"/>
                <w:shd w:val="clear" w:color="auto" w:fill="FFFFFF"/>
              </w:rPr>
              <w:t xml:space="preserve"> </w:t>
            </w:r>
            <w:r w:rsidRPr="00CF3CCA">
              <w:rPr>
                <w:rFonts w:hint="eastAsia"/>
                <w:szCs w:val="32"/>
                <w:shd w:val="clear" w:color="auto" w:fill="FFFFFF"/>
              </w:rPr>
              <w:t>实验室走廊等公共区域不得堆放或囤积危险化学品、气体钢瓶及化学废弃物；实验室内可存放少量化学品、化学废液，但必须分类分项存放，保持通风，远离热源、火源等可能引发安全事故的危险源；实验大楼周围禁止堆放危险化学品和化学废弃物。</w:t>
            </w:r>
          </w:p>
          <w:p w14:paraId="7FFB5088"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7.  </w:t>
            </w:r>
            <w:r w:rsidRPr="00CF3CCA">
              <w:rPr>
                <w:rFonts w:hint="eastAsia"/>
                <w:szCs w:val="32"/>
                <w:shd w:val="clear" w:color="auto" w:fill="FFFFFF"/>
              </w:rPr>
              <w:t>储存危险化学品和化学废弃物的场所，应当设置明显的安全警示标志。</w:t>
            </w:r>
          </w:p>
          <w:p w14:paraId="674D6039" w14:textId="77777777" w:rsidR="00EB36E8" w:rsidRPr="00CF3CCA" w:rsidRDefault="00EB36E8" w:rsidP="002927CE">
            <w:pPr>
              <w:shd w:val="clear" w:color="auto" w:fill="FFFFFF"/>
              <w:spacing w:line="520" w:lineRule="exact"/>
              <w:ind w:firstLineChars="200" w:firstLine="634"/>
              <w:rPr>
                <w:b/>
                <w:bCs/>
                <w:szCs w:val="32"/>
              </w:rPr>
            </w:pPr>
            <w:r w:rsidRPr="00CF3CCA">
              <w:rPr>
                <w:rFonts w:hint="eastAsia"/>
                <w:b/>
                <w:bCs/>
                <w:szCs w:val="32"/>
              </w:rPr>
              <w:lastRenderedPageBreak/>
              <w:t>五、</w:t>
            </w:r>
            <w:r w:rsidRPr="00CF3CCA">
              <w:rPr>
                <w:b/>
                <w:bCs/>
                <w:szCs w:val="32"/>
              </w:rPr>
              <w:t xml:space="preserve"> </w:t>
            </w:r>
            <w:r w:rsidRPr="00CF3CCA">
              <w:rPr>
                <w:rFonts w:hint="eastAsia"/>
                <w:b/>
                <w:bCs/>
                <w:szCs w:val="32"/>
              </w:rPr>
              <w:t>危险化学品的使用</w:t>
            </w:r>
          </w:p>
          <w:p w14:paraId="1E715D6D"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1.  </w:t>
            </w:r>
            <w:r w:rsidRPr="00CF3CCA">
              <w:rPr>
                <w:rFonts w:hint="eastAsia"/>
                <w:szCs w:val="32"/>
                <w:shd w:val="clear" w:color="auto" w:fill="FFFFFF"/>
              </w:rPr>
              <w:t>各实验室负责人应按化学品的等级和要求管理和使用化学品，并定期进行检查和盘点。</w:t>
            </w:r>
          </w:p>
          <w:p w14:paraId="7E19D597"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2.  </w:t>
            </w:r>
            <w:r w:rsidRPr="00CF3CCA">
              <w:rPr>
                <w:rFonts w:hint="eastAsia"/>
                <w:szCs w:val="32"/>
                <w:shd w:val="clear" w:color="auto" w:fill="FFFFFF"/>
              </w:rPr>
              <w:t>原则上实验台化学试剂架上应只放置临时需要使用的试剂，用完后应放回安全柜或试剂柜。教学实验室的危险化学品在该实验项目结束后返回库房，整个实验项目结束后化学品还遗留在实验室内的当安全事故处理。</w:t>
            </w:r>
          </w:p>
          <w:p w14:paraId="40240E7F"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3.  </w:t>
            </w:r>
            <w:r w:rsidRPr="00CF3CCA">
              <w:rPr>
                <w:rFonts w:hint="eastAsia"/>
                <w:szCs w:val="32"/>
                <w:shd w:val="clear" w:color="auto" w:fill="FFFFFF"/>
              </w:rPr>
              <w:t>管制类化学品的使用应严格执行</w:t>
            </w:r>
            <w:r w:rsidRPr="00CF3CCA">
              <w:rPr>
                <w:szCs w:val="32"/>
                <w:shd w:val="clear" w:color="auto" w:fill="FFFFFF"/>
              </w:rPr>
              <w:t>“</w:t>
            </w:r>
            <w:r w:rsidRPr="00CF3CCA">
              <w:rPr>
                <w:rFonts w:hint="eastAsia"/>
                <w:szCs w:val="32"/>
                <w:shd w:val="clear" w:color="auto" w:fill="FFFFFF"/>
              </w:rPr>
              <w:t>双人领取、双人运输、双人使用、双人记账、双人双锁保管</w:t>
            </w:r>
            <w:r w:rsidRPr="00CF3CCA">
              <w:rPr>
                <w:szCs w:val="32"/>
                <w:shd w:val="clear" w:color="auto" w:fill="FFFFFF"/>
              </w:rPr>
              <w:t>”</w:t>
            </w:r>
            <w:r w:rsidRPr="00CF3CCA">
              <w:rPr>
                <w:rFonts w:hint="eastAsia"/>
                <w:szCs w:val="32"/>
                <w:shd w:val="clear" w:color="auto" w:fill="FFFFFF"/>
              </w:rPr>
              <w:t>的</w:t>
            </w:r>
            <w:r w:rsidRPr="00CF3CCA">
              <w:rPr>
                <w:szCs w:val="32"/>
                <w:shd w:val="clear" w:color="auto" w:fill="FFFFFF"/>
              </w:rPr>
              <w:t>“</w:t>
            </w:r>
            <w:r w:rsidRPr="00CF3CCA">
              <w:rPr>
                <w:rFonts w:hint="eastAsia"/>
                <w:szCs w:val="32"/>
                <w:shd w:val="clear" w:color="auto" w:fill="FFFFFF"/>
              </w:rPr>
              <w:t>五双</w:t>
            </w:r>
            <w:r w:rsidRPr="00CF3CCA">
              <w:rPr>
                <w:szCs w:val="32"/>
                <w:shd w:val="clear" w:color="auto" w:fill="FFFFFF"/>
              </w:rPr>
              <w:t>”</w:t>
            </w:r>
            <w:r w:rsidRPr="00CF3CCA">
              <w:rPr>
                <w:rFonts w:hint="eastAsia"/>
                <w:szCs w:val="32"/>
                <w:shd w:val="clear" w:color="auto" w:fill="FFFFFF"/>
              </w:rPr>
              <w:t>管理制度，其中</w:t>
            </w:r>
            <w:r w:rsidRPr="00CF3CCA">
              <w:rPr>
                <w:szCs w:val="32"/>
                <w:shd w:val="clear" w:color="auto" w:fill="FFFFFF"/>
              </w:rPr>
              <w:t>“</w:t>
            </w:r>
            <w:r w:rsidRPr="00CF3CCA">
              <w:rPr>
                <w:rFonts w:hint="eastAsia"/>
                <w:szCs w:val="32"/>
                <w:shd w:val="clear" w:color="auto" w:fill="FFFFFF"/>
              </w:rPr>
              <w:t>双人双锁</w:t>
            </w:r>
            <w:r w:rsidRPr="00CF3CCA">
              <w:rPr>
                <w:szCs w:val="32"/>
                <w:shd w:val="clear" w:color="auto" w:fill="FFFFFF"/>
              </w:rPr>
              <w:t>”</w:t>
            </w:r>
            <w:r w:rsidRPr="00CF3CCA">
              <w:rPr>
                <w:rFonts w:hint="eastAsia"/>
                <w:szCs w:val="32"/>
                <w:shd w:val="clear" w:color="auto" w:fill="FFFFFF"/>
              </w:rPr>
              <w:t>中保管</w:t>
            </w:r>
            <w:r w:rsidRPr="00CF3CCA">
              <w:rPr>
                <w:szCs w:val="32"/>
                <w:shd w:val="clear" w:color="auto" w:fill="FFFFFF"/>
              </w:rPr>
              <w:t>“</w:t>
            </w:r>
            <w:r w:rsidRPr="00CF3CCA">
              <w:rPr>
                <w:rFonts w:hint="eastAsia"/>
                <w:szCs w:val="32"/>
                <w:shd w:val="clear" w:color="auto" w:fill="FFFFFF"/>
              </w:rPr>
              <w:t>双人</w:t>
            </w:r>
            <w:r w:rsidRPr="00CF3CCA">
              <w:rPr>
                <w:szCs w:val="32"/>
                <w:shd w:val="clear" w:color="auto" w:fill="FFFFFF"/>
              </w:rPr>
              <w:t>”</w:t>
            </w:r>
            <w:r w:rsidRPr="00CF3CCA">
              <w:rPr>
                <w:rFonts w:hint="eastAsia"/>
                <w:szCs w:val="32"/>
                <w:shd w:val="clear" w:color="auto" w:fill="FFFFFF"/>
              </w:rPr>
              <w:t>必须是本校在岗教职工。管制品应有详细的使用记录并登记成册，其他危险化学品也应有规范的使用登记。</w:t>
            </w:r>
          </w:p>
          <w:p w14:paraId="424CF5BA"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4.  </w:t>
            </w:r>
            <w:r w:rsidRPr="00CF3CCA">
              <w:rPr>
                <w:rFonts w:hint="eastAsia"/>
                <w:szCs w:val="32"/>
                <w:shd w:val="clear" w:color="auto" w:fill="FFFFFF"/>
              </w:rPr>
              <w:t>任何个人和实验室不得生产、使用国家禁止生产、经营和使用的危险化学品。国家对危险化学品的使用有限制性规定的，任何实验室和个人不得违反限制性规定使用危险化学品。</w:t>
            </w:r>
          </w:p>
          <w:p w14:paraId="1D7BC760"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5.  </w:t>
            </w:r>
            <w:r w:rsidRPr="00CF3CCA">
              <w:rPr>
                <w:rFonts w:hint="eastAsia"/>
                <w:szCs w:val="32"/>
                <w:shd w:val="clear" w:color="auto" w:fill="FFFFFF"/>
              </w:rPr>
              <w:t>实验人员在设计实验时，应在能够达到实验目的前提下，尽量减少使用危险化学品、降低实验中间产物的危险性、并减少化学废弃物产生量。</w:t>
            </w:r>
          </w:p>
          <w:p w14:paraId="309C6972"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6.  </w:t>
            </w:r>
            <w:r w:rsidRPr="00CF3CCA">
              <w:rPr>
                <w:rFonts w:hint="eastAsia"/>
                <w:szCs w:val="32"/>
                <w:shd w:val="clear" w:color="auto" w:fill="FFFFFF"/>
              </w:rPr>
              <w:t>实验室开展实验活动前，应进行充分的风险评估，对可能存在的安全风险制订相应的防控措施，并根据项目管理部门要求办理报批或报备手续。学院或项目主管部门认为有必要的，可组织安全专家进行安全风险评估。</w:t>
            </w:r>
          </w:p>
          <w:p w14:paraId="7B85FD66"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7.  </w:t>
            </w:r>
            <w:r w:rsidRPr="00CF3CCA">
              <w:rPr>
                <w:rFonts w:hint="eastAsia"/>
                <w:szCs w:val="32"/>
                <w:shd w:val="clear" w:color="auto" w:fill="FFFFFF"/>
              </w:rPr>
              <w:t>实验室应加强对涉及危险化学品的实验设施、设备和场地、装置等配套条件的管理。启用前应进行风险评估，不得启用存在设计缺陷或安全隐患的实验设备和装置；实验设备或装置如出现故障导致存在安</w:t>
            </w:r>
            <w:r w:rsidRPr="00CF3CCA">
              <w:rPr>
                <w:rFonts w:hint="eastAsia"/>
                <w:szCs w:val="32"/>
                <w:shd w:val="clear" w:color="auto" w:fill="FFFFFF"/>
              </w:rPr>
              <w:lastRenderedPageBreak/>
              <w:t>全隐患，或者经维修仍然存在隐患的，应当停止使用。</w:t>
            </w:r>
          </w:p>
          <w:p w14:paraId="5E571ABA"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8. </w:t>
            </w:r>
            <w:r w:rsidRPr="00CF3CCA">
              <w:rPr>
                <w:rFonts w:hint="eastAsia"/>
                <w:szCs w:val="32"/>
                <w:shd w:val="clear" w:color="auto" w:fill="FFFFFF"/>
              </w:rPr>
              <w:t>实验室应根据实验所涉及化学品的种类和危险特性，在实验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相关场所和安全设施、设备上应设置明显的安全警示标志。</w:t>
            </w:r>
          </w:p>
          <w:p w14:paraId="4EA94855"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9. </w:t>
            </w:r>
            <w:r w:rsidRPr="00CF3CCA">
              <w:rPr>
                <w:rFonts w:hint="eastAsia"/>
                <w:szCs w:val="32"/>
                <w:shd w:val="clear" w:color="auto" w:fill="FFFFFF"/>
              </w:rPr>
              <w:t>各实验室应严格落实学校关于实验室安全培训和准入考核的要求。对进入实验室的人员要经过安全教育和培训，掌握相应的实验技能和安全知识后方可参与相关实验操作。涉及使用剧毒化学品的人员，还应按国家要求接受岗前培训，持证上岗。</w:t>
            </w:r>
          </w:p>
          <w:p w14:paraId="4F48BAE5"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10.  </w:t>
            </w:r>
            <w:r w:rsidRPr="00CF3CCA">
              <w:rPr>
                <w:rFonts w:hint="eastAsia"/>
                <w:szCs w:val="32"/>
                <w:shd w:val="clear" w:color="auto" w:fill="FFFFFF"/>
              </w:rPr>
              <w:t>实验室须制定危险性实验的安全操作规程，并张贴上墙或置于显眼位置。实验室应建立本实验室所涉及危险化学品的化学品安全技术说明书档案，便于查阅；根据危险程度，配备相应的应急物品（如呼吸器、解毒药品、特殊灭火器材等），并做好应急防范措施。实验操作人员应熟悉和充分了解所使用危险化学品的性质和安全防护措施，严格按照操作规程作业，做好个人安全防护。</w:t>
            </w:r>
          </w:p>
          <w:p w14:paraId="3436D11D"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11.  </w:t>
            </w:r>
            <w:r w:rsidRPr="00CF3CCA">
              <w:rPr>
                <w:rFonts w:hint="eastAsia"/>
                <w:szCs w:val="32"/>
                <w:shd w:val="clear" w:color="auto" w:fill="FFFFFF"/>
              </w:rPr>
              <w:t>凡涉及化学品的实验应有人值守。实验室负责人应对实验项目的风险程度进行研判并作出值守安排。对判断为危险性较大的实验项目，其危险操作环节必须安排两人或两人以上同时在场；对判断为风险较低但需较长时间的过夜实验，实验室负责人可委托具有该实验室准入资格且熟悉该实验项目的同组人员定时监控实验过程，并向学院申请，同意之后方可进行。</w:t>
            </w:r>
          </w:p>
          <w:p w14:paraId="36010AEB"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12. </w:t>
            </w:r>
            <w:r w:rsidRPr="00CF3CCA">
              <w:rPr>
                <w:rFonts w:hint="eastAsia"/>
                <w:szCs w:val="32"/>
                <w:shd w:val="clear" w:color="auto" w:fill="FFFFFF"/>
              </w:rPr>
              <w:t>实验室如需在同校园内不同楼宇间或同一楼宇的不同房间转</w:t>
            </w:r>
            <w:r w:rsidRPr="00CF3CCA">
              <w:rPr>
                <w:rFonts w:hint="eastAsia"/>
                <w:szCs w:val="32"/>
                <w:shd w:val="clear" w:color="auto" w:fill="FFFFFF"/>
              </w:rPr>
              <w:lastRenderedPageBreak/>
              <w:t>移危险化学品，应严格按照相关专业要求或在专家指导下密封包装，并采用专门的转移工具进行转移。实验室负责人对转移过程的安全负责。</w:t>
            </w:r>
          </w:p>
          <w:p w14:paraId="610CBADA"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13.  </w:t>
            </w:r>
            <w:r w:rsidRPr="00CF3CCA">
              <w:rPr>
                <w:rFonts w:hint="eastAsia"/>
                <w:szCs w:val="32"/>
                <w:shd w:val="clear" w:color="auto" w:fill="FFFFFF"/>
              </w:rPr>
              <w:t>工艺过程使用或产生刺激性气味甚至有毒有害气体的实验，须在工作正常的通风柜（橱）中进行，并采取安装吸附或净化装置等有效措施，使排放气体符合政府部门制订的大气污染排放标准，防止造成大气污染。</w:t>
            </w:r>
          </w:p>
          <w:p w14:paraId="40692319" w14:textId="77777777" w:rsidR="00EB36E8" w:rsidRPr="00CF3CCA" w:rsidRDefault="00EB36E8" w:rsidP="002927CE">
            <w:pPr>
              <w:shd w:val="clear" w:color="auto" w:fill="FFFFFF"/>
              <w:spacing w:line="520" w:lineRule="exact"/>
              <w:ind w:firstLineChars="200" w:firstLine="634"/>
              <w:rPr>
                <w:b/>
                <w:bCs/>
                <w:szCs w:val="32"/>
              </w:rPr>
            </w:pPr>
            <w:r w:rsidRPr="00CF3CCA">
              <w:rPr>
                <w:rFonts w:hint="eastAsia"/>
                <w:b/>
                <w:bCs/>
                <w:szCs w:val="32"/>
              </w:rPr>
              <w:t>六、</w:t>
            </w:r>
            <w:r w:rsidRPr="00CF3CCA">
              <w:rPr>
                <w:b/>
                <w:bCs/>
                <w:szCs w:val="32"/>
              </w:rPr>
              <w:t xml:space="preserve"> </w:t>
            </w:r>
            <w:r w:rsidRPr="00CF3CCA">
              <w:rPr>
                <w:rFonts w:hint="eastAsia"/>
                <w:b/>
                <w:bCs/>
                <w:szCs w:val="32"/>
              </w:rPr>
              <w:t>危险化学品废弃物处置</w:t>
            </w:r>
          </w:p>
          <w:p w14:paraId="1C74511F" w14:textId="77777777" w:rsidR="00EB36E8" w:rsidRPr="00CF3CCA" w:rsidRDefault="00EB36E8" w:rsidP="002927CE">
            <w:pPr>
              <w:shd w:val="clear" w:color="auto" w:fill="FFFFFF"/>
              <w:spacing w:line="520" w:lineRule="exact"/>
              <w:ind w:firstLine="645"/>
              <w:rPr>
                <w:szCs w:val="32"/>
                <w:shd w:val="clear" w:color="auto" w:fill="FFFFFF"/>
              </w:rPr>
            </w:pPr>
            <w:r w:rsidRPr="00CF3CCA">
              <w:rPr>
                <w:rFonts w:hint="eastAsia"/>
                <w:szCs w:val="32"/>
                <w:shd w:val="clear" w:color="auto" w:fill="FFFFFF"/>
              </w:rPr>
              <w:t>危险化学品的废弃处置流程可详细参考《常州工学院危险化学品管理办法（试行）》，同时需要严格执行以下规定。</w:t>
            </w:r>
          </w:p>
          <w:p w14:paraId="3558E057"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1.  </w:t>
            </w:r>
            <w:r w:rsidRPr="00CF3CCA">
              <w:rPr>
                <w:rFonts w:hint="eastAsia"/>
                <w:szCs w:val="32"/>
                <w:shd w:val="clear" w:color="auto" w:fill="FFFFFF"/>
              </w:rPr>
              <w:t>实验室在做好绿色排放的前提下，应严格按安全特性分类收集化学废弃物，存放在通风良好的暂存场所，并根据学校要求做好相关安全标识。安全标识应清晰、明确，包括化学废弃物暂存点标识、安全警示标识、危险废弃物标识等。</w:t>
            </w:r>
          </w:p>
          <w:p w14:paraId="2DA3276C"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2.  </w:t>
            </w:r>
            <w:r w:rsidRPr="00CF3CCA">
              <w:rPr>
                <w:rFonts w:hint="eastAsia"/>
                <w:szCs w:val="32"/>
                <w:shd w:val="clear" w:color="auto" w:fill="FFFFFF"/>
              </w:rPr>
              <w:t>学院规定按照</w:t>
            </w:r>
            <w:r w:rsidRPr="00CF3CCA">
              <w:rPr>
                <w:szCs w:val="32"/>
                <w:shd w:val="clear" w:color="auto" w:fill="FFFFFF"/>
              </w:rPr>
              <w:t>“</w:t>
            </w:r>
            <w:r w:rsidRPr="00CF3CCA">
              <w:rPr>
                <w:rFonts w:hint="eastAsia"/>
                <w:szCs w:val="32"/>
                <w:shd w:val="clear" w:color="auto" w:fill="FFFFFF"/>
              </w:rPr>
              <w:t>谁污染，谁治理；谁使用、谁负责；谁主管、谁负责</w:t>
            </w:r>
            <w:r w:rsidRPr="00CF3CCA">
              <w:rPr>
                <w:szCs w:val="32"/>
                <w:shd w:val="clear" w:color="auto" w:fill="FFFFFF"/>
              </w:rPr>
              <w:t>”</w:t>
            </w:r>
            <w:r w:rsidRPr="00CF3CCA">
              <w:rPr>
                <w:rFonts w:hint="eastAsia"/>
                <w:szCs w:val="32"/>
                <w:shd w:val="clear" w:color="auto" w:fill="FFFFFF"/>
              </w:rPr>
              <w:t>的原则推进化学废弃物的处置。化学废弃物由学院汇报学校后，联系有资质的回收公司统一处置。</w:t>
            </w:r>
          </w:p>
          <w:p w14:paraId="672C2E74"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3.  </w:t>
            </w:r>
            <w:r w:rsidRPr="00CF3CCA">
              <w:rPr>
                <w:rFonts w:hint="eastAsia"/>
                <w:szCs w:val="32"/>
                <w:shd w:val="clear" w:color="auto" w:fill="FFFFFF"/>
              </w:rPr>
              <w:t>化学废弃物应按安全特性分类收集，隔离存放，并在容器外注明危险性。同一类化学废弃物混存前需进行兼容性测试，通过后方可混存。剧毒化学废弃物、易燃易爆化学废弃物必须单独收集，并在确保安全的条件下妥善存放，不得混入其他化学废弃物中。</w:t>
            </w:r>
          </w:p>
          <w:p w14:paraId="24FEF847"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4.  </w:t>
            </w:r>
            <w:r w:rsidRPr="00CF3CCA">
              <w:rPr>
                <w:rFonts w:hint="eastAsia"/>
                <w:szCs w:val="32"/>
                <w:shd w:val="clear" w:color="auto" w:fill="FFFFFF"/>
              </w:rPr>
              <w:t>化学废弃物的盛装容器应完好牢固，封口紧密，无破损、倾斜、倒置和渗漏等现象；应根据化学废弃物的特性选择容器类别，确保不会发生废弃物将容器溶解、腐蚀等异常现象。容器外应有明显清晰的标识，准确标明废弃物的名称、成分、规格、形态、数量、危险性等，外文标</w:t>
            </w:r>
            <w:r w:rsidRPr="00CF3CCA">
              <w:rPr>
                <w:rFonts w:hint="eastAsia"/>
                <w:szCs w:val="32"/>
                <w:shd w:val="clear" w:color="auto" w:fill="FFFFFF"/>
              </w:rPr>
              <w:lastRenderedPageBreak/>
              <w:t>识的应加注中文注释。回收危险化学废弃物时，如发现盛装容器或标识不符合规定要求，工作人员可拒收，并要求二级单位或实验室按规定要求整改。</w:t>
            </w:r>
          </w:p>
          <w:p w14:paraId="648770FD"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5.  </w:t>
            </w:r>
            <w:r w:rsidRPr="00CF3CCA">
              <w:rPr>
                <w:rFonts w:hint="eastAsia"/>
                <w:szCs w:val="32"/>
                <w:shd w:val="clear" w:color="auto" w:fill="FFFFFF"/>
              </w:rPr>
              <w:t>严禁将未经无害化处理、可能污染环境的化学废弃物直接排入下水道。</w:t>
            </w:r>
          </w:p>
          <w:p w14:paraId="3B0698C4"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6. </w:t>
            </w:r>
            <w:r w:rsidRPr="00CF3CCA">
              <w:rPr>
                <w:rFonts w:hint="eastAsia"/>
                <w:szCs w:val="32"/>
                <w:shd w:val="clear" w:color="auto" w:fill="FFFFFF"/>
              </w:rPr>
              <w:t>将化学废弃物与一般生活垃圾、生物性废弃物、医疗废弃物或放射性废弃物等混装贮存和回收。</w:t>
            </w:r>
          </w:p>
          <w:p w14:paraId="071F5E8A"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7.  </w:t>
            </w:r>
            <w:r w:rsidRPr="00CF3CCA">
              <w:rPr>
                <w:rFonts w:hint="eastAsia"/>
                <w:szCs w:val="32"/>
                <w:shd w:val="clear" w:color="auto" w:fill="FFFFFF"/>
              </w:rPr>
              <w:t>未经申请和审核或未按要求粘贴清单的化学废弃物，学院中心实验室可拒收，相关实验室应按规定要求整改。</w:t>
            </w:r>
          </w:p>
          <w:p w14:paraId="597A849C"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8.  </w:t>
            </w:r>
            <w:r w:rsidRPr="00CF3CCA">
              <w:rPr>
                <w:rFonts w:hint="eastAsia"/>
                <w:szCs w:val="32"/>
                <w:shd w:val="clear" w:color="auto" w:fill="FFFFFF"/>
              </w:rPr>
              <w:t>学校鼓励实验室剩余试剂调拨使用；确需报废处理的废旧化学试剂，在回收处置前需做好登记，并暂存于玉衡楼</w:t>
            </w:r>
            <w:r w:rsidRPr="00CF3CCA">
              <w:rPr>
                <w:szCs w:val="32"/>
                <w:shd w:val="clear" w:color="auto" w:fill="FFFFFF"/>
              </w:rPr>
              <w:t>C102</w:t>
            </w:r>
            <w:r w:rsidRPr="00CF3CCA">
              <w:rPr>
                <w:rFonts w:hint="eastAsia"/>
                <w:szCs w:val="32"/>
                <w:shd w:val="clear" w:color="auto" w:fill="FFFFFF"/>
              </w:rPr>
              <w:t>房间。</w:t>
            </w:r>
          </w:p>
          <w:p w14:paraId="4C3E4284"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9.  </w:t>
            </w:r>
            <w:r w:rsidRPr="00CF3CCA">
              <w:rPr>
                <w:rFonts w:hint="eastAsia"/>
                <w:szCs w:val="32"/>
                <w:shd w:val="clear" w:color="auto" w:fill="FFFFFF"/>
              </w:rPr>
              <w:t>对于实验过程中会产生有毒、有害、有味气体的实验室，应在废气排放前采取措施对废气进行有效的吸附、吸收、中和等处理，并安装吸附型或分解型的通风柜，确保废气排放达到国家相关排放标准。</w:t>
            </w:r>
          </w:p>
          <w:p w14:paraId="0B8AA6BC" w14:textId="77777777" w:rsidR="00EB36E8" w:rsidRPr="00CF3CCA" w:rsidRDefault="00EB36E8" w:rsidP="002927CE">
            <w:pPr>
              <w:shd w:val="clear" w:color="auto" w:fill="FFFFFF"/>
              <w:spacing w:line="520" w:lineRule="exact"/>
              <w:ind w:firstLineChars="200" w:firstLine="634"/>
              <w:rPr>
                <w:b/>
                <w:bCs/>
                <w:szCs w:val="32"/>
              </w:rPr>
            </w:pPr>
            <w:r w:rsidRPr="00CF3CCA">
              <w:rPr>
                <w:rFonts w:hint="eastAsia"/>
                <w:b/>
                <w:bCs/>
                <w:szCs w:val="32"/>
              </w:rPr>
              <w:t>七、</w:t>
            </w:r>
            <w:r w:rsidRPr="00CF3CCA">
              <w:rPr>
                <w:b/>
                <w:bCs/>
                <w:szCs w:val="32"/>
              </w:rPr>
              <w:t xml:space="preserve">  </w:t>
            </w:r>
            <w:r w:rsidRPr="00CF3CCA">
              <w:rPr>
                <w:rFonts w:hint="eastAsia"/>
                <w:b/>
                <w:bCs/>
                <w:szCs w:val="32"/>
              </w:rPr>
              <w:t>责任追究</w:t>
            </w:r>
          </w:p>
          <w:p w14:paraId="612B3989"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1. </w:t>
            </w:r>
            <w:r w:rsidRPr="00CF3CCA">
              <w:rPr>
                <w:rFonts w:hint="eastAsia"/>
                <w:szCs w:val="32"/>
                <w:shd w:val="clear" w:color="auto" w:fill="FFFFFF"/>
              </w:rPr>
              <w:t>实验室危险化学品安全是学院实验室安全重要部分，因此实验室安全将纳入各相关系部人员的年度考核内容，以及相关人员职称评审、评奖推优的重要依据。</w:t>
            </w:r>
          </w:p>
          <w:p w14:paraId="524B224C" w14:textId="77777777" w:rsidR="00EB36E8"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2. </w:t>
            </w:r>
            <w:r w:rsidRPr="00CF3CCA">
              <w:rPr>
                <w:rFonts w:hint="eastAsia"/>
                <w:szCs w:val="32"/>
                <w:shd w:val="clear" w:color="auto" w:fill="FFFFFF"/>
              </w:rPr>
              <w:t>学院领导、实验室主任和实验管理人员将依照以上条例不定期抽查实验室安全，发现不符合规定存在安全隐患的，无正当理由拒不整改者，则进行全院通报批评并勒令其整改。整改不到位或违反上述规定三次以上者，收回实验室使用权并对实验室负责人进行处理。</w:t>
            </w:r>
          </w:p>
          <w:p w14:paraId="55C39AB6" w14:textId="3CFDB920" w:rsidR="00A00063" w:rsidRPr="00CF3CCA" w:rsidRDefault="00EB36E8" w:rsidP="002927CE">
            <w:pPr>
              <w:shd w:val="clear" w:color="auto" w:fill="FFFFFF"/>
              <w:spacing w:line="520" w:lineRule="exact"/>
              <w:ind w:firstLine="645"/>
              <w:rPr>
                <w:szCs w:val="32"/>
                <w:shd w:val="clear" w:color="auto" w:fill="FFFFFF"/>
              </w:rPr>
            </w:pPr>
            <w:r w:rsidRPr="00CF3CCA">
              <w:rPr>
                <w:szCs w:val="32"/>
                <w:shd w:val="clear" w:color="auto" w:fill="FFFFFF"/>
              </w:rPr>
              <w:t xml:space="preserve">3.  </w:t>
            </w:r>
            <w:r w:rsidRPr="00CF3CCA">
              <w:rPr>
                <w:rFonts w:hint="eastAsia"/>
                <w:szCs w:val="32"/>
                <w:shd w:val="clear" w:color="auto" w:fill="FFFFFF"/>
              </w:rPr>
              <w:t>违反国家、地方化学品相关法律法规造成实验室安全事故的，依照国家、地方和学校有关实验室安全管理规定的，学院将第一时间收</w:t>
            </w:r>
            <w:r w:rsidRPr="00CF3CCA">
              <w:rPr>
                <w:rFonts w:hint="eastAsia"/>
                <w:szCs w:val="32"/>
                <w:shd w:val="clear" w:color="auto" w:fill="FFFFFF"/>
              </w:rPr>
              <w:lastRenderedPageBreak/>
              <w:t>回实验室使用权，并对相关人员、所在实验室进行处罚和追责。构成违法或犯罪的，交由国家有关机关进行处理。</w:t>
            </w:r>
          </w:p>
        </w:tc>
      </w:tr>
    </w:tbl>
    <w:p w14:paraId="15F4AF87" w14:textId="3CC545AA" w:rsidR="00A00063" w:rsidRDefault="00A00063" w:rsidP="00A00063">
      <w:pPr>
        <w:pStyle w:val="a6"/>
        <w:spacing w:before="0" w:beforeAutospacing="0" w:after="0" w:afterAutospacing="0" w:line="460" w:lineRule="exact"/>
        <w:ind w:right="560" w:firstLineChars="2300" w:firstLine="6345"/>
        <w:rPr>
          <w:rFonts w:ascii="仿宋" w:hAnsi="仿宋"/>
          <w:sz w:val="28"/>
          <w:szCs w:val="28"/>
        </w:rPr>
      </w:pPr>
    </w:p>
    <w:p w14:paraId="770E5635" w14:textId="77777777" w:rsidR="00A00063" w:rsidRDefault="00A00063" w:rsidP="00A00063">
      <w:pPr>
        <w:pStyle w:val="a6"/>
        <w:spacing w:before="0" w:beforeAutospacing="0" w:after="0" w:afterAutospacing="0" w:line="460" w:lineRule="exact"/>
        <w:ind w:right="560" w:firstLineChars="2300" w:firstLine="6345"/>
        <w:rPr>
          <w:rFonts w:ascii="仿宋" w:hAnsi="仿宋"/>
          <w:sz w:val="28"/>
          <w:szCs w:val="28"/>
        </w:rPr>
      </w:pPr>
    </w:p>
    <w:p w14:paraId="7AC56318" w14:textId="1C6FB2F8" w:rsidR="003213CC" w:rsidRPr="00A00063" w:rsidRDefault="00A00063" w:rsidP="00A00063">
      <w:pPr>
        <w:pStyle w:val="a6"/>
        <w:spacing w:before="0" w:beforeAutospacing="0" w:after="0" w:afterAutospacing="0" w:line="460" w:lineRule="exact"/>
        <w:ind w:right="698" w:firstLineChars="4400" w:firstLine="12138"/>
        <w:jc w:val="right"/>
        <w:rPr>
          <w:rFonts w:ascii="仿宋" w:hAnsi="仿宋"/>
          <w:sz w:val="28"/>
          <w:szCs w:val="28"/>
        </w:rPr>
      </w:pPr>
      <w:r>
        <w:rPr>
          <w:rFonts w:ascii="仿宋" w:hAnsi="仿宋" w:hint="eastAsia"/>
          <w:sz w:val="28"/>
          <w:szCs w:val="28"/>
        </w:rPr>
        <w:t>化</w:t>
      </w:r>
    </w:p>
    <w:tbl>
      <w:tblPr>
        <w:tblStyle w:val="ab"/>
        <w:tblW w:w="0" w:type="auto"/>
        <w:jc w:val="center"/>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8834"/>
      </w:tblGrid>
      <w:tr w:rsidR="00826CAD" w14:paraId="75068DFF" w14:textId="77777777" w:rsidTr="00FD3951">
        <w:trPr>
          <w:trHeight w:val="680"/>
          <w:jc w:val="center"/>
        </w:trPr>
        <w:tc>
          <w:tcPr>
            <w:tcW w:w="8834" w:type="dxa"/>
            <w:vAlign w:val="center"/>
          </w:tcPr>
          <w:p w14:paraId="12F8FCCA" w14:textId="1311298C" w:rsidR="00826CAD" w:rsidRPr="001D4157" w:rsidRDefault="00826CAD" w:rsidP="00FD3951">
            <w:pPr>
              <w:snapToGrid w:val="0"/>
              <w:spacing w:line="400" w:lineRule="exact"/>
              <w:textAlignment w:val="baseline"/>
              <w:rPr>
                <w:rFonts w:ascii="仿宋" w:hAnsi="仿宋"/>
                <w:sz w:val="28"/>
                <w:szCs w:val="28"/>
              </w:rPr>
            </w:pPr>
            <w:r w:rsidRPr="001D4157">
              <w:rPr>
                <w:rFonts w:ascii="仿宋" w:hAnsi="仿宋" w:hint="eastAsia"/>
                <w:sz w:val="28"/>
                <w:szCs w:val="28"/>
              </w:rPr>
              <w:t xml:space="preserve"> </w:t>
            </w:r>
            <w:r>
              <w:rPr>
                <w:rFonts w:ascii="仿宋" w:hAnsi="仿宋" w:hint="eastAsia"/>
                <w:sz w:val="28"/>
                <w:szCs w:val="28"/>
              </w:rPr>
              <w:t>化工与材料学院</w:t>
            </w:r>
            <w:r w:rsidRPr="001D4157">
              <w:rPr>
                <w:rFonts w:ascii="仿宋" w:hAnsi="仿宋" w:hint="eastAsia"/>
                <w:sz w:val="28"/>
                <w:szCs w:val="28"/>
              </w:rPr>
              <w:t xml:space="preserve"> </w:t>
            </w:r>
            <w:r w:rsidRPr="001D4157">
              <w:rPr>
                <w:rFonts w:ascii="仿宋" w:hAnsi="仿宋"/>
                <w:sz w:val="28"/>
                <w:szCs w:val="28"/>
              </w:rPr>
              <w:t xml:space="preserve">                       </w:t>
            </w:r>
            <w:r>
              <w:rPr>
                <w:rFonts w:ascii="仿宋" w:hAnsi="仿宋"/>
                <w:sz w:val="28"/>
                <w:szCs w:val="28"/>
              </w:rPr>
              <w:t xml:space="preserve">   </w:t>
            </w:r>
            <w:r w:rsidRPr="001D4157">
              <w:rPr>
                <w:rFonts w:ascii="仿宋" w:hAnsi="仿宋"/>
                <w:sz w:val="28"/>
                <w:szCs w:val="28"/>
              </w:rPr>
              <w:t xml:space="preserve"> </w:t>
            </w:r>
            <w:r w:rsidRPr="001D4157">
              <w:rPr>
                <w:rFonts w:ascii="仿宋" w:hAnsi="仿宋" w:hint="eastAsia"/>
                <w:sz w:val="28"/>
                <w:szCs w:val="28"/>
              </w:rPr>
              <w:t>20</w:t>
            </w:r>
            <w:r>
              <w:rPr>
                <w:rFonts w:ascii="仿宋" w:hAnsi="仿宋"/>
                <w:sz w:val="28"/>
                <w:szCs w:val="28"/>
              </w:rPr>
              <w:t>2</w:t>
            </w:r>
            <w:r w:rsidR="00A279C8">
              <w:rPr>
                <w:rFonts w:ascii="仿宋" w:hAnsi="仿宋"/>
                <w:sz w:val="28"/>
                <w:szCs w:val="28"/>
              </w:rPr>
              <w:t>3</w:t>
            </w:r>
            <w:r w:rsidRPr="001D4157">
              <w:rPr>
                <w:rFonts w:ascii="仿宋" w:hAnsi="仿宋" w:hint="eastAsia"/>
                <w:sz w:val="28"/>
                <w:szCs w:val="28"/>
              </w:rPr>
              <w:t>年</w:t>
            </w:r>
            <w:r w:rsidR="00A279C8">
              <w:rPr>
                <w:rFonts w:ascii="仿宋" w:hAnsi="仿宋"/>
                <w:sz w:val="28"/>
                <w:szCs w:val="28"/>
              </w:rPr>
              <w:t>2</w:t>
            </w:r>
            <w:r w:rsidRPr="001D4157">
              <w:rPr>
                <w:rFonts w:ascii="仿宋" w:hAnsi="仿宋" w:hint="eastAsia"/>
                <w:sz w:val="28"/>
                <w:szCs w:val="28"/>
              </w:rPr>
              <w:t>月</w:t>
            </w:r>
            <w:r w:rsidR="00A279C8">
              <w:rPr>
                <w:rFonts w:ascii="仿宋" w:hAnsi="仿宋"/>
                <w:sz w:val="28"/>
                <w:szCs w:val="28"/>
              </w:rPr>
              <w:t>18</w:t>
            </w:r>
            <w:r w:rsidRPr="001D4157">
              <w:rPr>
                <w:rFonts w:ascii="仿宋" w:hAnsi="仿宋" w:hint="eastAsia"/>
                <w:sz w:val="28"/>
                <w:szCs w:val="28"/>
              </w:rPr>
              <w:t>日</w:t>
            </w:r>
            <w:r w:rsidRPr="001D4157">
              <w:rPr>
                <w:rFonts w:ascii="仿宋" w:hAnsi="仿宋"/>
                <w:sz w:val="28"/>
                <w:szCs w:val="28"/>
              </w:rPr>
              <w:t>印</w:t>
            </w:r>
            <w:r w:rsidRPr="001D4157">
              <w:rPr>
                <w:rFonts w:ascii="仿宋" w:hAnsi="仿宋" w:hint="eastAsia"/>
                <w:sz w:val="28"/>
                <w:szCs w:val="28"/>
              </w:rPr>
              <w:t xml:space="preserve">   </w:t>
            </w:r>
          </w:p>
        </w:tc>
      </w:tr>
    </w:tbl>
    <w:p w14:paraId="4CC6A69D" w14:textId="55B762B7" w:rsidR="00F0677F" w:rsidRPr="00F0677F" w:rsidRDefault="00F0677F" w:rsidP="00A00063">
      <w:pPr>
        <w:spacing w:line="520" w:lineRule="exact"/>
        <w:rPr>
          <w:rFonts w:eastAsia="宋体"/>
          <w:sz w:val="21"/>
        </w:rPr>
      </w:pPr>
    </w:p>
    <w:sectPr w:rsidR="00F0677F" w:rsidRPr="00F0677F" w:rsidSect="00470CE5">
      <w:footerReference w:type="even" r:id="rId7"/>
      <w:footerReference w:type="default" r:id="rId8"/>
      <w:pgSz w:w="11906" w:h="16838" w:code="9"/>
      <w:pgMar w:top="2098" w:right="1474" w:bottom="1985" w:left="1588" w:header="851" w:footer="1418" w:gutter="0"/>
      <w:pgNumType w:fmt="numberInDash"/>
      <w:cols w:space="425"/>
      <w:titlePg/>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3EFE4" w14:textId="77777777" w:rsidR="005F08AF" w:rsidRDefault="005F08AF">
      <w:r>
        <w:separator/>
      </w:r>
    </w:p>
  </w:endnote>
  <w:endnote w:type="continuationSeparator" w:id="0">
    <w:p w14:paraId="056DB551" w14:textId="77777777" w:rsidR="005F08AF" w:rsidRDefault="005F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0EA7" w14:textId="77777777" w:rsidR="00C871DD" w:rsidRPr="006A71E3" w:rsidRDefault="00ED27B5" w:rsidP="00557E2F">
    <w:pPr>
      <w:pStyle w:val="a3"/>
      <w:framePr w:wrap="around" w:vAnchor="text" w:hAnchor="margin" w:xAlign="center" w:y="1"/>
      <w:rPr>
        <w:rStyle w:val="a5"/>
        <w:rFonts w:ascii="宋体" w:eastAsia="宋体" w:hAnsi="宋体"/>
        <w:sz w:val="28"/>
        <w:szCs w:val="28"/>
      </w:rPr>
    </w:pPr>
    <w:r w:rsidRPr="006A71E3">
      <w:rPr>
        <w:rStyle w:val="a5"/>
      </w:rPr>
      <w:fldChar w:fldCharType="begin"/>
    </w:r>
    <w:r w:rsidR="00C871DD">
      <w:rPr>
        <w:rStyle w:val="a5"/>
      </w:rPr>
      <w:instrText xml:space="preserve">PAGE  </w:instrText>
    </w:r>
    <w:r w:rsidRPr="006A71E3">
      <w:rPr>
        <w:rStyle w:val="a5"/>
      </w:rPr>
      <w:fldChar w:fldCharType="separate"/>
    </w:r>
    <w:r w:rsidR="006A71E3">
      <w:rPr>
        <w:rStyle w:val="a5"/>
        <w:noProof/>
      </w:rPr>
      <w:t>- 2 -</w:t>
    </w:r>
    <w:r w:rsidRPr="006A71E3">
      <w:rPr>
        <w:rStyle w:val="a5"/>
        <w:rFonts w:ascii="宋体" w:eastAsia="宋体" w:hAnsi="宋体"/>
        <w:sz w:val="28"/>
        <w:szCs w:val="28"/>
      </w:rPr>
      <w:fldChar w:fldCharType="end"/>
    </w:r>
  </w:p>
  <w:p w14:paraId="1AE60319" w14:textId="77777777" w:rsidR="00C871DD" w:rsidRDefault="00C871DD" w:rsidP="00513A1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611496"/>
      <w:docPartObj>
        <w:docPartGallery w:val="Page Numbers (Bottom of Page)"/>
        <w:docPartUnique/>
      </w:docPartObj>
    </w:sdtPr>
    <w:sdtEndPr>
      <w:rPr>
        <w:noProof/>
        <w:lang w:val="zh-CN"/>
      </w:rPr>
    </w:sdtEndPr>
    <w:sdtContent>
      <w:p w14:paraId="0E977073" w14:textId="3DC430D4" w:rsidR="00470CE5" w:rsidRDefault="00470CE5">
        <w:pPr>
          <w:pStyle w:val="a3"/>
          <w:jc w:val="center"/>
        </w:pPr>
        <w:r>
          <w:fldChar w:fldCharType="begin"/>
        </w:r>
        <w:r>
          <w:instrText xml:space="preserve"> PAGE   \* MERGEFORMAT </w:instrText>
        </w:r>
        <w:r>
          <w:fldChar w:fldCharType="separate"/>
        </w:r>
        <w:r w:rsidR="003531AD" w:rsidRPr="003531AD">
          <w:rPr>
            <w:noProof/>
            <w:lang w:val="zh-CN"/>
          </w:rPr>
          <w:t>-</w:t>
        </w:r>
        <w:r w:rsidR="003531AD">
          <w:rPr>
            <w:noProof/>
          </w:rPr>
          <w:t xml:space="preserve"> 4 -</w:t>
        </w:r>
        <w:r>
          <w:rPr>
            <w:noProof/>
            <w:lang w:val="zh-CN"/>
          </w:rPr>
          <w:fldChar w:fldCharType="end"/>
        </w:r>
      </w:p>
    </w:sdtContent>
  </w:sdt>
  <w:p w14:paraId="62C1A818" w14:textId="77777777" w:rsidR="00C871DD" w:rsidRDefault="00C871DD" w:rsidP="00513A1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855BE" w14:textId="77777777" w:rsidR="005F08AF" w:rsidRDefault="005F08AF">
      <w:r>
        <w:separator/>
      </w:r>
    </w:p>
  </w:footnote>
  <w:footnote w:type="continuationSeparator" w:id="0">
    <w:p w14:paraId="5870329E" w14:textId="77777777" w:rsidR="005F08AF" w:rsidRDefault="005F0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1" type="#_x0000_t75" style="width:3.3pt;height:3.3pt;visibility:visible;mso-wrap-style:square" o:bullet="t">
        <v:imagedata r:id="rId1" o:title=""/>
      </v:shape>
    </w:pict>
  </w:numPicBullet>
  <w:abstractNum w:abstractNumId="0" w15:restartNumberingAfterBreak="0">
    <w:nsid w:val="0B655436"/>
    <w:multiLevelType w:val="hybridMultilevel"/>
    <w:tmpl w:val="242AC09E"/>
    <w:lvl w:ilvl="0" w:tplc="D9D41B8C">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15:restartNumberingAfterBreak="0">
    <w:nsid w:val="122C4725"/>
    <w:multiLevelType w:val="hybridMultilevel"/>
    <w:tmpl w:val="3E70DBCE"/>
    <w:lvl w:ilvl="0" w:tplc="0A98DE50">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14F9EB87"/>
    <w:multiLevelType w:val="singleLevel"/>
    <w:tmpl w:val="14F9EB87"/>
    <w:lvl w:ilvl="0">
      <w:start w:val="6"/>
      <w:numFmt w:val="decimal"/>
      <w:suff w:val="space"/>
      <w:lvlText w:val="%1."/>
      <w:lvlJc w:val="left"/>
      <w:pPr>
        <w:ind w:left="0" w:firstLine="0"/>
      </w:pPr>
    </w:lvl>
  </w:abstractNum>
  <w:abstractNum w:abstractNumId="3" w15:restartNumberingAfterBreak="0">
    <w:nsid w:val="288A66C9"/>
    <w:multiLevelType w:val="hybridMultilevel"/>
    <w:tmpl w:val="C09EEC40"/>
    <w:lvl w:ilvl="0" w:tplc="F502D5C6">
      <w:start w:val="1"/>
      <w:numFmt w:val="decimal"/>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 w15:restartNumberingAfterBreak="0">
    <w:nsid w:val="31DF798A"/>
    <w:multiLevelType w:val="hybridMultilevel"/>
    <w:tmpl w:val="7CA66B9C"/>
    <w:lvl w:ilvl="0" w:tplc="67CA33F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543C4D79"/>
    <w:multiLevelType w:val="multilevel"/>
    <w:tmpl w:val="543C4D79"/>
    <w:lvl w:ilvl="0">
      <w:start w:val="1"/>
      <w:numFmt w:val="decimal"/>
      <w:lvlText w:val="%1."/>
      <w:lvlJc w:val="left"/>
      <w:pPr>
        <w:tabs>
          <w:tab w:val="left" w:pos="918"/>
        </w:tabs>
        <w:ind w:left="918" w:hanging="420"/>
      </w:pPr>
    </w:lvl>
    <w:lvl w:ilvl="1">
      <w:start w:val="1"/>
      <w:numFmt w:val="lowerLetter"/>
      <w:lvlText w:val="%2)"/>
      <w:lvlJc w:val="left"/>
      <w:pPr>
        <w:tabs>
          <w:tab w:val="left" w:pos="1338"/>
        </w:tabs>
        <w:ind w:left="1338" w:hanging="420"/>
      </w:pPr>
    </w:lvl>
    <w:lvl w:ilvl="2">
      <w:start w:val="1"/>
      <w:numFmt w:val="lowerRoman"/>
      <w:lvlText w:val="%3."/>
      <w:lvlJc w:val="right"/>
      <w:pPr>
        <w:tabs>
          <w:tab w:val="left" w:pos="1758"/>
        </w:tabs>
        <w:ind w:left="1758" w:hanging="420"/>
      </w:pPr>
    </w:lvl>
    <w:lvl w:ilvl="3">
      <w:start w:val="1"/>
      <w:numFmt w:val="decimal"/>
      <w:lvlText w:val="%4."/>
      <w:lvlJc w:val="left"/>
      <w:pPr>
        <w:tabs>
          <w:tab w:val="left" w:pos="2178"/>
        </w:tabs>
        <w:ind w:left="2178" w:hanging="420"/>
      </w:pPr>
    </w:lvl>
    <w:lvl w:ilvl="4">
      <w:start w:val="1"/>
      <w:numFmt w:val="lowerLetter"/>
      <w:lvlText w:val="%5)"/>
      <w:lvlJc w:val="left"/>
      <w:pPr>
        <w:tabs>
          <w:tab w:val="left" w:pos="2598"/>
        </w:tabs>
        <w:ind w:left="2598" w:hanging="420"/>
      </w:pPr>
    </w:lvl>
    <w:lvl w:ilvl="5">
      <w:start w:val="1"/>
      <w:numFmt w:val="lowerRoman"/>
      <w:lvlText w:val="%6."/>
      <w:lvlJc w:val="right"/>
      <w:pPr>
        <w:tabs>
          <w:tab w:val="left" w:pos="3018"/>
        </w:tabs>
        <w:ind w:left="3018" w:hanging="420"/>
      </w:pPr>
    </w:lvl>
    <w:lvl w:ilvl="6">
      <w:start w:val="1"/>
      <w:numFmt w:val="decimal"/>
      <w:lvlText w:val="%7."/>
      <w:lvlJc w:val="left"/>
      <w:pPr>
        <w:tabs>
          <w:tab w:val="left" w:pos="3438"/>
        </w:tabs>
        <w:ind w:left="3438" w:hanging="420"/>
      </w:pPr>
    </w:lvl>
    <w:lvl w:ilvl="7">
      <w:start w:val="1"/>
      <w:numFmt w:val="lowerLetter"/>
      <w:lvlText w:val="%8)"/>
      <w:lvlJc w:val="left"/>
      <w:pPr>
        <w:tabs>
          <w:tab w:val="left" w:pos="3858"/>
        </w:tabs>
        <w:ind w:left="3858" w:hanging="420"/>
      </w:pPr>
    </w:lvl>
    <w:lvl w:ilvl="8">
      <w:start w:val="1"/>
      <w:numFmt w:val="lowerRoman"/>
      <w:lvlText w:val="%9."/>
      <w:lvlJc w:val="right"/>
      <w:pPr>
        <w:tabs>
          <w:tab w:val="left" w:pos="4278"/>
        </w:tabs>
        <w:ind w:left="4278" w:hanging="420"/>
      </w:pPr>
    </w:lvl>
  </w:abstractNum>
  <w:abstractNum w:abstractNumId="6" w15:restartNumberingAfterBreak="0">
    <w:nsid w:val="595C69D1"/>
    <w:multiLevelType w:val="hybridMultilevel"/>
    <w:tmpl w:val="32A097C2"/>
    <w:lvl w:ilvl="0" w:tplc="96CCAC86">
      <w:start w:val="1"/>
      <w:numFmt w:val="decimal"/>
      <w:lvlText w:val="（%1）"/>
      <w:lvlJc w:val="left"/>
      <w:pPr>
        <w:tabs>
          <w:tab w:val="num" w:pos="1350"/>
        </w:tabs>
        <w:ind w:left="135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15:restartNumberingAfterBreak="0">
    <w:nsid w:val="63E16E1B"/>
    <w:multiLevelType w:val="hybridMultilevel"/>
    <w:tmpl w:val="12B02D4C"/>
    <w:lvl w:ilvl="0" w:tplc="7E48ED3E">
      <w:start w:val="2"/>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77505590"/>
    <w:multiLevelType w:val="singleLevel"/>
    <w:tmpl w:val="77505590"/>
    <w:lvl w:ilvl="0">
      <w:start w:val="1"/>
      <w:numFmt w:val="chineseCounting"/>
      <w:suff w:val="nothing"/>
      <w:lvlText w:val="（%1）"/>
      <w:lvlJc w:val="left"/>
      <w:rPr>
        <w:rFonts w:hint="eastAsia"/>
      </w:rPr>
    </w:lvl>
  </w:abstractNum>
  <w:abstractNum w:abstractNumId="9" w15:restartNumberingAfterBreak="0">
    <w:nsid w:val="77A43D9A"/>
    <w:multiLevelType w:val="singleLevel"/>
    <w:tmpl w:val="77A43D9A"/>
    <w:lvl w:ilvl="0">
      <w:start w:val="1"/>
      <w:numFmt w:val="chineseCounting"/>
      <w:suff w:val="nothing"/>
      <w:lvlText w:val="%1、"/>
      <w:lvlJc w:val="left"/>
      <w:rPr>
        <w:rFonts w:hint="eastAsia"/>
      </w:rPr>
    </w:lvl>
  </w:abstractNum>
  <w:num w:numId="1" w16cid:durableId="1875846417">
    <w:abstractNumId w:val="4"/>
  </w:num>
  <w:num w:numId="2" w16cid:durableId="1719548613">
    <w:abstractNumId w:val="0"/>
  </w:num>
  <w:num w:numId="3" w16cid:durableId="848644461">
    <w:abstractNumId w:val="6"/>
  </w:num>
  <w:num w:numId="4" w16cid:durableId="54937202">
    <w:abstractNumId w:val="3"/>
  </w:num>
  <w:num w:numId="5" w16cid:durableId="1862161177">
    <w:abstractNumId w:val="1"/>
  </w:num>
  <w:num w:numId="6" w16cid:durableId="1977636668">
    <w:abstractNumId w:val="7"/>
  </w:num>
  <w:num w:numId="7" w16cid:durableId="96369960">
    <w:abstractNumId w:val="9"/>
  </w:num>
  <w:num w:numId="8" w16cid:durableId="1081099895">
    <w:abstractNumId w:val="8"/>
  </w:num>
  <w:num w:numId="9" w16cid:durableId="17832643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1127519">
    <w:abstractNumId w:val="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Setting w:name="useWord2013TrackBottomHyphenation" w:uri="http://schemas.microsoft.com/office/word" w:val="1"/>
  </w:compat>
  <w:rsids>
    <w:rsidRoot w:val="002B3B7C"/>
    <w:rsid w:val="00012064"/>
    <w:rsid w:val="00012597"/>
    <w:rsid w:val="0002321A"/>
    <w:rsid w:val="000275CE"/>
    <w:rsid w:val="00040BF2"/>
    <w:rsid w:val="00065A44"/>
    <w:rsid w:val="00076E9F"/>
    <w:rsid w:val="00092FBD"/>
    <w:rsid w:val="000A74B7"/>
    <w:rsid w:val="000B02D6"/>
    <w:rsid w:val="000B1BC9"/>
    <w:rsid w:val="000B1D40"/>
    <w:rsid w:val="000B1E4C"/>
    <w:rsid w:val="000C2E7C"/>
    <w:rsid w:val="000C61A7"/>
    <w:rsid w:val="000D0786"/>
    <w:rsid w:val="000D4D0E"/>
    <w:rsid w:val="000E1D03"/>
    <w:rsid w:val="000F298A"/>
    <w:rsid w:val="000F3D55"/>
    <w:rsid w:val="001131A3"/>
    <w:rsid w:val="00123F92"/>
    <w:rsid w:val="00130546"/>
    <w:rsid w:val="001369AC"/>
    <w:rsid w:val="001371DF"/>
    <w:rsid w:val="001371F3"/>
    <w:rsid w:val="00144F32"/>
    <w:rsid w:val="00145923"/>
    <w:rsid w:val="00160A1A"/>
    <w:rsid w:val="00163322"/>
    <w:rsid w:val="0016447F"/>
    <w:rsid w:val="001650C9"/>
    <w:rsid w:val="00176FAE"/>
    <w:rsid w:val="00180CD8"/>
    <w:rsid w:val="00187F89"/>
    <w:rsid w:val="001975F6"/>
    <w:rsid w:val="001A0265"/>
    <w:rsid w:val="001A1200"/>
    <w:rsid w:val="001A3145"/>
    <w:rsid w:val="001B3E1F"/>
    <w:rsid w:val="001B6153"/>
    <w:rsid w:val="001C0B04"/>
    <w:rsid w:val="001D4157"/>
    <w:rsid w:val="001D4763"/>
    <w:rsid w:val="001D49F1"/>
    <w:rsid w:val="001D5811"/>
    <w:rsid w:val="001D5A70"/>
    <w:rsid w:val="001D7E5B"/>
    <w:rsid w:val="001F45DE"/>
    <w:rsid w:val="002026CC"/>
    <w:rsid w:val="00206F54"/>
    <w:rsid w:val="00224A84"/>
    <w:rsid w:val="0024054D"/>
    <w:rsid w:val="0024652C"/>
    <w:rsid w:val="002570C2"/>
    <w:rsid w:val="0026381A"/>
    <w:rsid w:val="00266CAF"/>
    <w:rsid w:val="002775E0"/>
    <w:rsid w:val="00284EA8"/>
    <w:rsid w:val="002927CE"/>
    <w:rsid w:val="00294AAA"/>
    <w:rsid w:val="00297988"/>
    <w:rsid w:val="002A246B"/>
    <w:rsid w:val="002A47F6"/>
    <w:rsid w:val="002A752C"/>
    <w:rsid w:val="002B0E73"/>
    <w:rsid w:val="002B3B7C"/>
    <w:rsid w:val="002C08C8"/>
    <w:rsid w:val="002D2A8F"/>
    <w:rsid w:val="002E3FAF"/>
    <w:rsid w:val="002E46E9"/>
    <w:rsid w:val="002E583F"/>
    <w:rsid w:val="002E72B6"/>
    <w:rsid w:val="00304A8C"/>
    <w:rsid w:val="00321235"/>
    <w:rsid w:val="003213CC"/>
    <w:rsid w:val="003226E0"/>
    <w:rsid w:val="00322B6A"/>
    <w:rsid w:val="003301F1"/>
    <w:rsid w:val="00330C8C"/>
    <w:rsid w:val="00334710"/>
    <w:rsid w:val="00335F6E"/>
    <w:rsid w:val="00343416"/>
    <w:rsid w:val="003531AD"/>
    <w:rsid w:val="0038314B"/>
    <w:rsid w:val="00392817"/>
    <w:rsid w:val="003A5749"/>
    <w:rsid w:val="003A6AF7"/>
    <w:rsid w:val="003C0E6E"/>
    <w:rsid w:val="003C372F"/>
    <w:rsid w:val="003C70BE"/>
    <w:rsid w:val="003D0D2F"/>
    <w:rsid w:val="003E18DC"/>
    <w:rsid w:val="0040575C"/>
    <w:rsid w:val="00410429"/>
    <w:rsid w:val="00425211"/>
    <w:rsid w:val="00431BA2"/>
    <w:rsid w:val="00445ADE"/>
    <w:rsid w:val="00453E87"/>
    <w:rsid w:val="004627E2"/>
    <w:rsid w:val="00470CE5"/>
    <w:rsid w:val="004770FB"/>
    <w:rsid w:val="00482C01"/>
    <w:rsid w:val="00484B6B"/>
    <w:rsid w:val="004938D6"/>
    <w:rsid w:val="00496BE0"/>
    <w:rsid w:val="004A221F"/>
    <w:rsid w:val="004A4207"/>
    <w:rsid w:val="004A7F20"/>
    <w:rsid w:val="004B4AF8"/>
    <w:rsid w:val="004B5421"/>
    <w:rsid w:val="004C4832"/>
    <w:rsid w:val="004D6E7C"/>
    <w:rsid w:val="004E5F93"/>
    <w:rsid w:val="004F1C98"/>
    <w:rsid w:val="0051069F"/>
    <w:rsid w:val="00513A12"/>
    <w:rsid w:val="00523786"/>
    <w:rsid w:val="00525102"/>
    <w:rsid w:val="00557E2F"/>
    <w:rsid w:val="00574262"/>
    <w:rsid w:val="005753F2"/>
    <w:rsid w:val="0058708C"/>
    <w:rsid w:val="00595425"/>
    <w:rsid w:val="005A3792"/>
    <w:rsid w:val="005B42B1"/>
    <w:rsid w:val="005B5798"/>
    <w:rsid w:val="005C12E8"/>
    <w:rsid w:val="005C2331"/>
    <w:rsid w:val="005D2F9E"/>
    <w:rsid w:val="005D7399"/>
    <w:rsid w:val="005E497F"/>
    <w:rsid w:val="005E4C8D"/>
    <w:rsid w:val="005E5743"/>
    <w:rsid w:val="005F08AF"/>
    <w:rsid w:val="005F1928"/>
    <w:rsid w:val="005F5148"/>
    <w:rsid w:val="00603F6E"/>
    <w:rsid w:val="00607679"/>
    <w:rsid w:val="00611036"/>
    <w:rsid w:val="006133DF"/>
    <w:rsid w:val="0061445F"/>
    <w:rsid w:val="006152CB"/>
    <w:rsid w:val="00624583"/>
    <w:rsid w:val="006314A6"/>
    <w:rsid w:val="00673491"/>
    <w:rsid w:val="00673BDD"/>
    <w:rsid w:val="00676BCD"/>
    <w:rsid w:val="006773E6"/>
    <w:rsid w:val="006803B6"/>
    <w:rsid w:val="00682218"/>
    <w:rsid w:val="006877FD"/>
    <w:rsid w:val="00691C36"/>
    <w:rsid w:val="006928F7"/>
    <w:rsid w:val="00693FF5"/>
    <w:rsid w:val="006A71E3"/>
    <w:rsid w:val="006B3E47"/>
    <w:rsid w:val="006B6D12"/>
    <w:rsid w:val="006C0630"/>
    <w:rsid w:val="006C205C"/>
    <w:rsid w:val="006C2430"/>
    <w:rsid w:val="006D5589"/>
    <w:rsid w:val="006D561B"/>
    <w:rsid w:val="006D7537"/>
    <w:rsid w:val="006E1080"/>
    <w:rsid w:val="006E6113"/>
    <w:rsid w:val="006E793C"/>
    <w:rsid w:val="006F25FF"/>
    <w:rsid w:val="006F2782"/>
    <w:rsid w:val="006F285F"/>
    <w:rsid w:val="007013EF"/>
    <w:rsid w:val="0071591C"/>
    <w:rsid w:val="00720D64"/>
    <w:rsid w:val="007433F8"/>
    <w:rsid w:val="00777881"/>
    <w:rsid w:val="00777EA2"/>
    <w:rsid w:val="00794C6B"/>
    <w:rsid w:val="007959C1"/>
    <w:rsid w:val="00796C3C"/>
    <w:rsid w:val="007A2C25"/>
    <w:rsid w:val="007B4243"/>
    <w:rsid w:val="007D1A85"/>
    <w:rsid w:val="007E29AE"/>
    <w:rsid w:val="007F035D"/>
    <w:rsid w:val="007F0E9E"/>
    <w:rsid w:val="007F473B"/>
    <w:rsid w:val="00801E30"/>
    <w:rsid w:val="00806ED5"/>
    <w:rsid w:val="0081148D"/>
    <w:rsid w:val="0081452E"/>
    <w:rsid w:val="00820C79"/>
    <w:rsid w:val="00826CAD"/>
    <w:rsid w:val="00830F34"/>
    <w:rsid w:val="0084567F"/>
    <w:rsid w:val="00846F50"/>
    <w:rsid w:val="00847DBB"/>
    <w:rsid w:val="008560B6"/>
    <w:rsid w:val="00880775"/>
    <w:rsid w:val="008B1DC0"/>
    <w:rsid w:val="008B6ED0"/>
    <w:rsid w:val="008C226B"/>
    <w:rsid w:val="008C575B"/>
    <w:rsid w:val="008D04BB"/>
    <w:rsid w:val="008D6FDC"/>
    <w:rsid w:val="008E2621"/>
    <w:rsid w:val="008F27C3"/>
    <w:rsid w:val="00901548"/>
    <w:rsid w:val="00902E77"/>
    <w:rsid w:val="00911203"/>
    <w:rsid w:val="00915C19"/>
    <w:rsid w:val="00927DD0"/>
    <w:rsid w:val="0093791A"/>
    <w:rsid w:val="0094395E"/>
    <w:rsid w:val="00947F57"/>
    <w:rsid w:val="00972358"/>
    <w:rsid w:val="00974819"/>
    <w:rsid w:val="00975066"/>
    <w:rsid w:val="009843FF"/>
    <w:rsid w:val="00984E55"/>
    <w:rsid w:val="0099449A"/>
    <w:rsid w:val="009975A0"/>
    <w:rsid w:val="009B7FC4"/>
    <w:rsid w:val="009C711F"/>
    <w:rsid w:val="009E5F25"/>
    <w:rsid w:val="009F33B5"/>
    <w:rsid w:val="00A00063"/>
    <w:rsid w:val="00A00826"/>
    <w:rsid w:val="00A2218F"/>
    <w:rsid w:val="00A279C8"/>
    <w:rsid w:val="00A30AFC"/>
    <w:rsid w:val="00A43324"/>
    <w:rsid w:val="00A5122D"/>
    <w:rsid w:val="00A5267B"/>
    <w:rsid w:val="00A650D6"/>
    <w:rsid w:val="00A669BD"/>
    <w:rsid w:val="00A77FE9"/>
    <w:rsid w:val="00A84049"/>
    <w:rsid w:val="00AA19C3"/>
    <w:rsid w:val="00AA3057"/>
    <w:rsid w:val="00AA416F"/>
    <w:rsid w:val="00AA46F8"/>
    <w:rsid w:val="00AA68C5"/>
    <w:rsid w:val="00AB0080"/>
    <w:rsid w:val="00AB4D26"/>
    <w:rsid w:val="00AB65D4"/>
    <w:rsid w:val="00AB778C"/>
    <w:rsid w:val="00AB7845"/>
    <w:rsid w:val="00AC0972"/>
    <w:rsid w:val="00AD01C2"/>
    <w:rsid w:val="00AD50FC"/>
    <w:rsid w:val="00AD7754"/>
    <w:rsid w:val="00AE1A16"/>
    <w:rsid w:val="00AE2A53"/>
    <w:rsid w:val="00AF24EB"/>
    <w:rsid w:val="00B07549"/>
    <w:rsid w:val="00B1440E"/>
    <w:rsid w:val="00B15792"/>
    <w:rsid w:val="00B24CC2"/>
    <w:rsid w:val="00B333E9"/>
    <w:rsid w:val="00B358E9"/>
    <w:rsid w:val="00B4568F"/>
    <w:rsid w:val="00B5667F"/>
    <w:rsid w:val="00B61029"/>
    <w:rsid w:val="00B6324D"/>
    <w:rsid w:val="00B7129E"/>
    <w:rsid w:val="00B83505"/>
    <w:rsid w:val="00B94330"/>
    <w:rsid w:val="00BB1D90"/>
    <w:rsid w:val="00BB6B89"/>
    <w:rsid w:val="00BC62DF"/>
    <w:rsid w:val="00BE2894"/>
    <w:rsid w:val="00BE2D67"/>
    <w:rsid w:val="00BE7F46"/>
    <w:rsid w:val="00C03B38"/>
    <w:rsid w:val="00C0764B"/>
    <w:rsid w:val="00C31D6B"/>
    <w:rsid w:val="00C36AF5"/>
    <w:rsid w:val="00C36E15"/>
    <w:rsid w:val="00C439AA"/>
    <w:rsid w:val="00C45A32"/>
    <w:rsid w:val="00C46DE2"/>
    <w:rsid w:val="00C5268A"/>
    <w:rsid w:val="00C66746"/>
    <w:rsid w:val="00C81985"/>
    <w:rsid w:val="00C846EC"/>
    <w:rsid w:val="00C871DD"/>
    <w:rsid w:val="00C90A7D"/>
    <w:rsid w:val="00CA1FC8"/>
    <w:rsid w:val="00CA55D1"/>
    <w:rsid w:val="00CA6E43"/>
    <w:rsid w:val="00CA6F04"/>
    <w:rsid w:val="00CB046C"/>
    <w:rsid w:val="00CB1C8A"/>
    <w:rsid w:val="00CB4C7F"/>
    <w:rsid w:val="00CB5CC9"/>
    <w:rsid w:val="00CB64E0"/>
    <w:rsid w:val="00CB7362"/>
    <w:rsid w:val="00CB74A3"/>
    <w:rsid w:val="00CD43DE"/>
    <w:rsid w:val="00CE078D"/>
    <w:rsid w:val="00CE1388"/>
    <w:rsid w:val="00CE1714"/>
    <w:rsid w:val="00CE23F4"/>
    <w:rsid w:val="00CE40DC"/>
    <w:rsid w:val="00CE47D2"/>
    <w:rsid w:val="00CE6531"/>
    <w:rsid w:val="00CF3205"/>
    <w:rsid w:val="00CF3CCA"/>
    <w:rsid w:val="00CF52F2"/>
    <w:rsid w:val="00D01742"/>
    <w:rsid w:val="00D07600"/>
    <w:rsid w:val="00D31F84"/>
    <w:rsid w:val="00D33372"/>
    <w:rsid w:val="00D43A98"/>
    <w:rsid w:val="00D46A08"/>
    <w:rsid w:val="00D477F5"/>
    <w:rsid w:val="00D5112D"/>
    <w:rsid w:val="00D6714D"/>
    <w:rsid w:val="00D67388"/>
    <w:rsid w:val="00D7234F"/>
    <w:rsid w:val="00D72C1A"/>
    <w:rsid w:val="00D74145"/>
    <w:rsid w:val="00D94762"/>
    <w:rsid w:val="00DB6428"/>
    <w:rsid w:val="00DD2E39"/>
    <w:rsid w:val="00DE05B7"/>
    <w:rsid w:val="00DF4AAB"/>
    <w:rsid w:val="00E04906"/>
    <w:rsid w:val="00E069E7"/>
    <w:rsid w:val="00E140E8"/>
    <w:rsid w:val="00E211DB"/>
    <w:rsid w:val="00E218BE"/>
    <w:rsid w:val="00E22639"/>
    <w:rsid w:val="00E22EBE"/>
    <w:rsid w:val="00E36D40"/>
    <w:rsid w:val="00E60A07"/>
    <w:rsid w:val="00E636C0"/>
    <w:rsid w:val="00E725A0"/>
    <w:rsid w:val="00E75562"/>
    <w:rsid w:val="00E756B4"/>
    <w:rsid w:val="00EA1366"/>
    <w:rsid w:val="00EB20A4"/>
    <w:rsid w:val="00EB264F"/>
    <w:rsid w:val="00EB36E8"/>
    <w:rsid w:val="00EB5E02"/>
    <w:rsid w:val="00EC7109"/>
    <w:rsid w:val="00EC7DDA"/>
    <w:rsid w:val="00ED27B5"/>
    <w:rsid w:val="00ED45D5"/>
    <w:rsid w:val="00ED600D"/>
    <w:rsid w:val="00EE0819"/>
    <w:rsid w:val="00EE1B20"/>
    <w:rsid w:val="00EE57FA"/>
    <w:rsid w:val="00EE627E"/>
    <w:rsid w:val="00EE6A44"/>
    <w:rsid w:val="00EF5B25"/>
    <w:rsid w:val="00F0169D"/>
    <w:rsid w:val="00F026F8"/>
    <w:rsid w:val="00F04317"/>
    <w:rsid w:val="00F0677F"/>
    <w:rsid w:val="00F1209F"/>
    <w:rsid w:val="00F128D8"/>
    <w:rsid w:val="00F2081B"/>
    <w:rsid w:val="00F26047"/>
    <w:rsid w:val="00F302D2"/>
    <w:rsid w:val="00F33641"/>
    <w:rsid w:val="00F45D12"/>
    <w:rsid w:val="00F6231D"/>
    <w:rsid w:val="00F72C80"/>
    <w:rsid w:val="00F745DC"/>
    <w:rsid w:val="00F81409"/>
    <w:rsid w:val="00F81933"/>
    <w:rsid w:val="00F93D1A"/>
    <w:rsid w:val="00F9696F"/>
    <w:rsid w:val="00F97218"/>
    <w:rsid w:val="00FC6203"/>
    <w:rsid w:val="00FD2EFF"/>
    <w:rsid w:val="00FE2BB8"/>
    <w:rsid w:val="00FE7021"/>
    <w:rsid w:val="00FF7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DBF4E"/>
  <w15:docId w15:val="{E46702D4-62A4-4CCB-AF11-0817CF44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04BB"/>
    <w:pPr>
      <w:widowControl w:val="0"/>
      <w:jc w:val="both"/>
    </w:pPr>
    <w:rPr>
      <w:rFonts w:eastAsia="仿宋"/>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3A12"/>
    <w:pPr>
      <w:tabs>
        <w:tab w:val="center" w:pos="4153"/>
        <w:tab w:val="right" w:pos="8306"/>
      </w:tabs>
      <w:snapToGrid w:val="0"/>
      <w:jc w:val="left"/>
    </w:pPr>
    <w:rPr>
      <w:sz w:val="18"/>
      <w:szCs w:val="18"/>
    </w:rPr>
  </w:style>
  <w:style w:type="character" w:styleId="a5">
    <w:name w:val="page number"/>
    <w:basedOn w:val="a0"/>
    <w:rsid w:val="00513A12"/>
  </w:style>
  <w:style w:type="paragraph" w:customStyle="1" w:styleId="redtitle">
    <w:name w:val="redtitle"/>
    <w:basedOn w:val="a"/>
    <w:rsid w:val="00A84049"/>
    <w:pPr>
      <w:widowControl/>
      <w:spacing w:before="100" w:beforeAutospacing="1" w:after="100" w:afterAutospacing="1"/>
      <w:jc w:val="left"/>
    </w:pPr>
    <w:rPr>
      <w:rFonts w:ascii="宋体" w:hAnsi="宋体" w:cs="宋体"/>
      <w:kern w:val="0"/>
      <w:sz w:val="24"/>
    </w:rPr>
  </w:style>
  <w:style w:type="paragraph" w:styleId="a6">
    <w:name w:val="Normal (Web)"/>
    <w:basedOn w:val="a"/>
    <w:qFormat/>
    <w:rsid w:val="00266CAF"/>
    <w:pPr>
      <w:widowControl/>
      <w:spacing w:before="100" w:beforeAutospacing="1" w:after="100" w:afterAutospacing="1"/>
      <w:jc w:val="left"/>
    </w:pPr>
    <w:rPr>
      <w:rFonts w:ascii="宋体" w:hAnsi="宋体" w:cs="宋体"/>
      <w:kern w:val="0"/>
      <w:sz w:val="24"/>
    </w:rPr>
  </w:style>
  <w:style w:type="paragraph" w:styleId="a7">
    <w:name w:val="Date"/>
    <w:basedOn w:val="a"/>
    <w:next w:val="a"/>
    <w:rsid w:val="00C66746"/>
    <w:rPr>
      <w:rFonts w:ascii="仿宋_GB2312" w:eastAsia="仿宋_GB2312"/>
      <w:sz w:val="28"/>
      <w:szCs w:val="20"/>
    </w:rPr>
  </w:style>
  <w:style w:type="paragraph" w:styleId="a8">
    <w:name w:val="header"/>
    <w:basedOn w:val="a"/>
    <w:rsid w:val="00C66746"/>
    <w:pPr>
      <w:pBdr>
        <w:bottom w:val="single" w:sz="6" w:space="1" w:color="auto"/>
      </w:pBdr>
      <w:tabs>
        <w:tab w:val="center" w:pos="4153"/>
        <w:tab w:val="right" w:pos="8306"/>
      </w:tabs>
      <w:snapToGrid w:val="0"/>
      <w:jc w:val="center"/>
    </w:pPr>
    <w:rPr>
      <w:sz w:val="18"/>
      <w:szCs w:val="18"/>
    </w:rPr>
  </w:style>
  <w:style w:type="character" w:styleId="a9">
    <w:name w:val="Strong"/>
    <w:qFormat/>
    <w:rsid w:val="00330C8C"/>
    <w:rPr>
      <w:b/>
      <w:bCs/>
    </w:rPr>
  </w:style>
  <w:style w:type="character" w:styleId="aa">
    <w:name w:val="Hyperlink"/>
    <w:rsid w:val="00EB20A4"/>
    <w:rPr>
      <w:color w:val="0000CC"/>
      <w:u w:val="single"/>
    </w:rPr>
  </w:style>
  <w:style w:type="character" w:customStyle="1" w:styleId="a4">
    <w:name w:val="页脚 字符"/>
    <w:basedOn w:val="a0"/>
    <w:link w:val="a3"/>
    <w:uiPriority w:val="99"/>
    <w:rsid w:val="008D04BB"/>
    <w:rPr>
      <w:rFonts w:eastAsia="仿宋"/>
      <w:kern w:val="2"/>
      <w:sz w:val="18"/>
      <w:szCs w:val="18"/>
    </w:rPr>
  </w:style>
  <w:style w:type="table" w:styleId="ab">
    <w:name w:val="Table Grid"/>
    <w:basedOn w:val="a1"/>
    <w:rsid w:val="00EF5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unhideWhenUsed/>
    <w:rsid w:val="00E756B4"/>
    <w:rPr>
      <w:sz w:val="18"/>
      <w:szCs w:val="18"/>
    </w:rPr>
  </w:style>
  <w:style w:type="character" w:customStyle="1" w:styleId="ad">
    <w:name w:val="批注框文本 字符"/>
    <w:basedOn w:val="a0"/>
    <w:link w:val="ac"/>
    <w:semiHidden/>
    <w:rsid w:val="00E756B4"/>
    <w:rPr>
      <w:rFonts w:eastAsia="仿宋"/>
      <w:kern w:val="2"/>
      <w:sz w:val="18"/>
      <w:szCs w:val="18"/>
    </w:rPr>
  </w:style>
  <w:style w:type="paragraph" w:styleId="ae">
    <w:name w:val="List Paragraph"/>
    <w:basedOn w:val="a"/>
    <w:uiPriority w:val="34"/>
    <w:qFormat/>
    <w:rsid w:val="006D7537"/>
    <w:pPr>
      <w:ind w:firstLineChars="200" w:firstLine="42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95396">
      <w:bodyDiv w:val="1"/>
      <w:marLeft w:val="0"/>
      <w:marRight w:val="0"/>
      <w:marTop w:val="0"/>
      <w:marBottom w:val="0"/>
      <w:divBdr>
        <w:top w:val="none" w:sz="0" w:space="0" w:color="auto"/>
        <w:left w:val="none" w:sz="0" w:space="0" w:color="auto"/>
        <w:bottom w:val="none" w:sz="0" w:space="0" w:color="auto"/>
        <w:right w:val="none" w:sz="0" w:space="0" w:color="auto"/>
      </w:divBdr>
    </w:div>
    <w:div w:id="455761279">
      <w:bodyDiv w:val="1"/>
      <w:marLeft w:val="0"/>
      <w:marRight w:val="0"/>
      <w:marTop w:val="0"/>
      <w:marBottom w:val="0"/>
      <w:divBdr>
        <w:top w:val="none" w:sz="0" w:space="0" w:color="auto"/>
        <w:left w:val="none" w:sz="0" w:space="0" w:color="auto"/>
        <w:bottom w:val="none" w:sz="0" w:space="0" w:color="auto"/>
        <w:right w:val="none" w:sz="0" w:space="0" w:color="auto"/>
      </w:divBdr>
    </w:div>
    <w:div w:id="622270982">
      <w:bodyDiv w:val="1"/>
      <w:marLeft w:val="0"/>
      <w:marRight w:val="0"/>
      <w:marTop w:val="0"/>
      <w:marBottom w:val="0"/>
      <w:divBdr>
        <w:top w:val="none" w:sz="0" w:space="0" w:color="auto"/>
        <w:left w:val="none" w:sz="0" w:space="0" w:color="auto"/>
        <w:bottom w:val="none" w:sz="0" w:space="0" w:color="auto"/>
        <w:right w:val="none" w:sz="0" w:space="0" w:color="auto"/>
      </w:divBdr>
      <w:divsChild>
        <w:div w:id="1693414542">
          <w:marLeft w:val="0"/>
          <w:marRight w:val="0"/>
          <w:marTop w:val="0"/>
          <w:marBottom w:val="0"/>
          <w:divBdr>
            <w:top w:val="none" w:sz="0" w:space="0" w:color="auto"/>
            <w:left w:val="none" w:sz="0" w:space="0" w:color="auto"/>
            <w:bottom w:val="none" w:sz="0" w:space="0" w:color="auto"/>
            <w:right w:val="none" w:sz="0" w:space="0" w:color="auto"/>
          </w:divBdr>
          <w:divsChild>
            <w:div w:id="264313790">
              <w:marLeft w:val="0"/>
              <w:marRight w:val="0"/>
              <w:marTop w:val="0"/>
              <w:marBottom w:val="0"/>
              <w:divBdr>
                <w:top w:val="none" w:sz="0" w:space="0" w:color="auto"/>
                <w:left w:val="none" w:sz="0" w:space="0" w:color="auto"/>
                <w:bottom w:val="none" w:sz="0" w:space="0" w:color="auto"/>
                <w:right w:val="none" w:sz="0" w:space="0" w:color="auto"/>
              </w:divBdr>
              <w:divsChild>
                <w:div w:id="94983541">
                  <w:marLeft w:val="0"/>
                  <w:marRight w:val="0"/>
                  <w:marTop w:val="0"/>
                  <w:marBottom w:val="0"/>
                  <w:divBdr>
                    <w:top w:val="none" w:sz="0" w:space="0" w:color="auto"/>
                    <w:left w:val="none" w:sz="0" w:space="0" w:color="auto"/>
                    <w:bottom w:val="none" w:sz="0" w:space="0" w:color="auto"/>
                    <w:right w:val="none" w:sz="0" w:space="0" w:color="auto"/>
                  </w:divBdr>
                  <w:divsChild>
                    <w:div w:id="1640649067">
                      <w:marLeft w:val="0"/>
                      <w:marRight w:val="0"/>
                      <w:marTop w:val="0"/>
                      <w:marBottom w:val="0"/>
                      <w:divBdr>
                        <w:top w:val="none" w:sz="0" w:space="0" w:color="auto"/>
                        <w:left w:val="none" w:sz="0" w:space="0" w:color="auto"/>
                        <w:bottom w:val="none" w:sz="0" w:space="0" w:color="auto"/>
                        <w:right w:val="none" w:sz="0" w:space="0" w:color="auto"/>
                      </w:divBdr>
                      <w:divsChild>
                        <w:div w:id="820804115">
                          <w:marLeft w:val="0"/>
                          <w:marRight w:val="0"/>
                          <w:marTop w:val="0"/>
                          <w:marBottom w:val="120"/>
                          <w:divBdr>
                            <w:top w:val="none" w:sz="0" w:space="0" w:color="auto"/>
                            <w:left w:val="none" w:sz="0" w:space="0" w:color="auto"/>
                            <w:bottom w:val="none" w:sz="0" w:space="0" w:color="auto"/>
                            <w:right w:val="none" w:sz="0" w:space="0" w:color="auto"/>
                          </w:divBdr>
                          <w:divsChild>
                            <w:div w:id="1158157291">
                              <w:marLeft w:val="0"/>
                              <w:marRight w:val="0"/>
                              <w:marTop w:val="0"/>
                              <w:marBottom w:val="0"/>
                              <w:divBdr>
                                <w:top w:val="none" w:sz="0" w:space="0" w:color="auto"/>
                                <w:left w:val="none" w:sz="0" w:space="0" w:color="auto"/>
                                <w:bottom w:val="none" w:sz="0" w:space="0" w:color="auto"/>
                                <w:right w:val="none" w:sz="0" w:space="0" w:color="auto"/>
                              </w:divBdr>
                              <w:divsChild>
                                <w:div w:id="262500865">
                                  <w:marLeft w:val="0"/>
                                  <w:marRight w:val="0"/>
                                  <w:marTop w:val="0"/>
                                  <w:marBottom w:val="0"/>
                                  <w:divBdr>
                                    <w:top w:val="none" w:sz="0" w:space="0" w:color="auto"/>
                                    <w:left w:val="none" w:sz="0" w:space="0" w:color="auto"/>
                                    <w:bottom w:val="none" w:sz="0" w:space="0" w:color="auto"/>
                                    <w:right w:val="none" w:sz="0" w:space="0" w:color="auto"/>
                                  </w:divBdr>
                                  <w:divsChild>
                                    <w:div w:id="197482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595830">
      <w:bodyDiv w:val="1"/>
      <w:marLeft w:val="0"/>
      <w:marRight w:val="0"/>
      <w:marTop w:val="0"/>
      <w:marBottom w:val="0"/>
      <w:divBdr>
        <w:top w:val="none" w:sz="0" w:space="0" w:color="auto"/>
        <w:left w:val="none" w:sz="0" w:space="0" w:color="auto"/>
        <w:bottom w:val="none" w:sz="0" w:space="0" w:color="auto"/>
        <w:right w:val="none" w:sz="0" w:space="0" w:color="auto"/>
      </w:divBdr>
    </w:div>
    <w:div w:id="817460837">
      <w:bodyDiv w:val="1"/>
      <w:marLeft w:val="0"/>
      <w:marRight w:val="0"/>
      <w:marTop w:val="0"/>
      <w:marBottom w:val="0"/>
      <w:divBdr>
        <w:top w:val="none" w:sz="0" w:space="0" w:color="auto"/>
        <w:left w:val="none" w:sz="0" w:space="0" w:color="auto"/>
        <w:bottom w:val="none" w:sz="0" w:space="0" w:color="auto"/>
        <w:right w:val="none" w:sz="0" w:space="0" w:color="auto"/>
      </w:divBdr>
    </w:div>
    <w:div w:id="899247486">
      <w:bodyDiv w:val="1"/>
      <w:marLeft w:val="0"/>
      <w:marRight w:val="0"/>
      <w:marTop w:val="0"/>
      <w:marBottom w:val="0"/>
      <w:divBdr>
        <w:top w:val="none" w:sz="0" w:space="0" w:color="auto"/>
        <w:left w:val="none" w:sz="0" w:space="0" w:color="auto"/>
        <w:bottom w:val="none" w:sz="0" w:space="0" w:color="auto"/>
        <w:right w:val="none" w:sz="0" w:space="0" w:color="auto"/>
      </w:divBdr>
    </w:div>
    <w:div w:id="905605755">
      <w:bodyDiv w:val="1"/>
      <w:marLeft w:val="0"/>
      <w:marRight w:val="0"/>
      <w:marTop w:val="0"/>
      <w:marBottom w:val="0"/>
      <w:divBdr>
        <w:top w:val="none" w:sz="0" w:space="0" w:color="auto"/>
        <w:left w:val="none" w:sz="0" w:space="0" w:color="auto"/>
        <w:bottom w:val="none" w:sz="0" w:space="0" w:color="auto"/>
        <w:right w:val="none" w:sz="0" w:space="0" w:color="auto"/>
      </w:divBdr>
    </w:div>
    <w:div w:id="957953290">
      <w:bodyDiv w:val="1"/>
      <w:marLeft w:val="0"/>
      <w:marRight w:val="0"/>
      <w:marTop w:val="0"/>
      <w:marBottom w:val="0"/>
      <w:divBdr>
        <w:top w:val="none" w:sz="0" w:space="0" w:color="auto"/>
        <w:left w:val="none" w:sz="0" w:space="0" w:color="auto"/>
        <w:bottom w:val="none" w:sz="0" w:space="0" w:color="auto"/>
        <w:right w:val="none" w:sz="0" w:space="0" w:color="auto"/>
      </w:divBdr>
    </w:div>
    <w:div w:id="958218551">
      <w:bodyDiv w:val="1"/>
      <w:marLeft w:val="0"/>
      <w:marRight w:val="0"/>
      <w:marTop w:val="0"/>
      <w:marBottom w:val="0"/>
      <w:divBdr>
        <w:top w:val="none" w:sz="0" w:space="0" w:color="auto"/>
        <w:left w:val="none" w:sz="0" w:space="0" w:color="auto"/>
        <w:bottom w:val="none" w:sz="0" w:space="0" w:color="auto"/>
        <w:right w:val="none" w:sz="0" w:space="0" w:color="auto"/>
      </w:divBdr>
    </w:div>
    <w:div w:id="1077826462">
      <w:bodyDiv w:val="1"/>
      <w:marLeft w:val="0"/>
      <w:marRight w:val="0"/>
      <w:marTop w:val="0"/>
      <w:marBottom w:val="0"/>
      <w:divBdr>
        <w:top w:val="none" w:sz="0" w:space="0" w:color="auto"/>
        <w:left w:val="none" w:sz="0" w:space="0" w:color="auto"/>
        <w:bottom w:val="none" w:sz="0" w:space="0" w:color="auto"/>
        <w:right w:val="none" w:sz="0" w:space="0" w:color="auto"/>
      </w:divBdr>
    </w:div>
    <w:div w:id="1210534419">
      <w:bodyDiv w:val="1"/>
      <w:marLeft w:val="0"/>
      <w:marRight w:val="0"/>
      <w:marTop w:val="0"/>
      <w:marBottom w:val="0"/>
      <w:divBdr>
        <w:top w:val="none" w:sz="0" w:space="0" w:color="auto"/>
        <w:left w:val="none" w:sz="0" w:space="0" w:color="auto"/>
        <w:bottom w:val="none" w:sz="0" w:space="0" w:color="auto"/>
        <w:right w:val="none" w:sz="0" w:space="0" w:color="auto"/>
      </w:divBdr>
    </w:div>
    <w:div w:id="1265109278">
      <w:bodyDiv w:val="1"/>
      <w:marLeft w:val="0"/>
      <w:marRight w:val="0"/>
      <w:marTop w:val="0"/>
      <w:marBottom w:val="0"/>
      <w:divBdr>
        <w:top w:val="none" w:sz="0" w:space="0" w:color="auto"/>
        <w:left w:val="none" w:sz="0" w:space="0" w:color="auto"/>
        <w:bottom w:val="none" w:sz="0" w:space="0" w:color="auto"/>
        <w:right w:val="none" w:sz="0" w:space="0" w:color="auto"/>
      </w:divBdr>
    </w:div>
    <w:div w:id="1727102553">
      <w:bodyDiv w:val="1"/>
      <w:marLeft w:val="0"/>
      <w:marRight w:val="0"/>
      <w:marTop w:val="0"/>
      <w:marBottom w:val="0"/>
      <w:divBdr>
        <w:top w:val="none" w:sz="0" w:space="0" w:color="auto"/>
        <w:left w:val="none" w:sz="0" w:space="0" w:color="auto"/>
        <w:bottom w:val="none" w:sz="0" w:space="0" w:color="auto"/>
        <w:right w:val="none" w:sz="0" w:space="0" w:color="auto"/>
      </w:divBdr>
    </w:div>
    <w:div w:id="1777601478">
      <w:bodyDiv w:val="1"/>
      <w:marLeft w:val="0"/>
      <w:marRight w:val="0"/>
      <w:marTop w:val="0"/>
      <w:marBottom w:val="0"/>
      <w:divBdr>
        <w:top w:val="none" w:sz="0" w:space="0" w:color="auto"/>
        <w:left w:val="none" w:sz="0" w:space="0" w:color="auto"/>
        <w:bottom w:val="none" w:sz="0" w:space="0" w:color="auto"/>
        <w:right w:val="none" w:sz="0" w:space="0" w:color="auto"/>
      </w:divBdr>
    </w:div>
    <w:div w:id="214133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8</Pages>
  <Words>659</Words>
  <Characters>3761</Characters>
  <Application>Microsoft Office Word</Application>
  <DocSecurity>0</DocSecurity>
  <Lines>31</Lines>
  <Paragraphs>8</Paragraphs>
  <ScaleCrop>false</ScaleCrop>
  <Company>ZLP</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江苏大学党委理论学习中心组2008年下半年学习计划</dc:title>
  <dc:creator>zlp730516</dc:creator>
  <cp:lastModifiedBy>zhiyi chen</cp:lastModifiedBy>
  <cp:revision>26</cp:revision>
  <cp:lastPrinted>2021-10-08T06:29:00Z</cp:lastPrinted>
  <dcterms:created xsi:type="dcterms:W3CDTF">2021-02-01T02:36:00Z</dcterms:created>
  <dcterms:modified xsi:type="dcterms:W3CDTF">2023-02-21T02:03:00Z</dcterms:modified>
</cp:coreProperties>
</file>